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山西大学重大合同审查及用印审批表</w:t>
      </w:r>
    </w:p>
    <w:tbl>
      <w:tblPr>
        <w:tblStyle w:val="2"/>
        <w:tblW w:w="9381" w:type="dxa"/>
        <w:jc w:val="center"/>
        <w:tblCellSpacing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2141"/>
        <w:gridCol w:w="992"/>
        <w:gridCol w:w="1417"/>
        <w:gridCol w:w="1239"/>
        <w:gridCol w:w="230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8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合同相对方</w:t>
            </w:r>
          </w:p>
        </w:tc>
        <w:tc>
          <w:tcPr>
            <w:tcW w:w="8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法人名章</w:t>
            </w:r>
          </w:p>
        </w:tc>
        <w:tc>
          <w:tcPr>
            <w:tcW w:w="8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是否使用法人名章：□是       □否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主办单位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对合同的可行性、必要性分析论证；对合同的技术性条款（包括但不限于合同标的、合同价款、付款条件、验收条款、质量条款、违约责任等）进行审查；对合同相对方进行资信调查。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 xml:space="preserve"> 负责人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 xml:space="preserve">: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</w:rPr>
              <w:t>业务归口管理部门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审核合同相对方的主体资格、资信情况；审核合同事项的必要性、可行性、真实性、合理性；对合同内容及文本进行业务审核；审核合同基本条款的完备情况。</w:t>
            </w: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: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</w:rPr>
              <w:t>法律事务办公室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对合同进行合法性审查；对合同的法律条款进行审查；对履行合同的法律风险进行提示。</w:t>
            </w: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 xml:space="preserve"> 审查人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:</w:t>
            </w: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  <w:t>主办单位分管校领导</w:t>
            </w:r>
          </w:p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  <w:t>业务归口管理部门分管校领导</w:t>
            </w:r>
          </w:p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  <w:t>校长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TViOGNkZGNkOWJhZmMyZDkxMGEwZTE3YWZlYmMifQ=="/>
  </w:docVars>
  <w:rsids>
    <w:rsidRoot w:val="5EF41FC2"/>
    <w:rsid w:val="5E9B5B97"/>
    <w:rsid w:val="5EF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2023-06-28T01:28:00Z</dcterms:created>
  <dc:creator>1109</dc:creator>
  <cp:lastModifiedBy>1109</cp:lastModifiedBy>
  <dcterms:modified xsi:type="dcterms:W3CDTF">2023-06-28T01:29:34Z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ED87F75A6678490EB3B0FEA3DCB1603E_11</vt:lpwstr>
  </property>
</Properties>
</file>