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2FA8C">
      <w:pPr>
        <w:ind w:left="0" w:leftChars="0" w:firstLine="0" w:firstLineChars="0"/>
        <w:jc w:val="center"/>
        <w:outlineLvl w:val="0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山西大学图书情报硕士专业学位授权点建设年度报告（2023年）</w:t>
      </w:r>
    </w:p>
    <w:p w14:paraId="3B56651A">
      <w:pPr>
        <w:jc w:val="center"/>
        <w:rPr>
          <w:rFonts w:hint="eastAsia" w:ascii="仿宋" w:hAnsi="仿宋" w:eastAsia="仿宋" w:cs="仿宋"/>
          <w:szCs w:val="21"/>
        </w:rPr>
      </w:pPr>
    </w:p>
    <w:p w14:paraId="54A22E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一、</w:t>
      </w:r>
      <w:r>
        <w:rPr>
          <w:rFonts w:hint="default"/>
        </w:rPr>
        <w:t>学位授权点基本情况</w:t>
      </w:r>
    </w:p>
    <w:p w14:paraId="12976B22">
      <w:pPr>
        <w:bidi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山西大学图书情报硕士专业学位于2010年获得授权，是山西省最早获批的院校。当前依托山西大学经济与管理学院学科大平台，融合管理、经济、计算机等学科知识，结合专业硕士的社会实际需求，形成了稳定的、特色鲜明的三个培养方向。本专业学位</w:t>
      </w:r>
      <w:r>
        <w:rPr>
          <w:rFonts w:hint="eastAsia" w:ascii="仿宋" w:hAnsi="仿宋" w:eastAsia="仿宋" w:cs="仿宋"/>
          <w:sz w:val="32"/>
          <w:szCs w:val="32"/>
          <w:lang w:eastAsia="zh"/>
          <w:woUserID w:val="1"/>
        </w:rPr>
        <w:t>授权点</w:t>
      </w:r>
      <w:r>
        <w:rPr>
          <w:rFonts w:hint="eastAsia" w:ascii="仿宋" w:hAnsi="仿宋" w:eastAsia="仿宋" w:cs="仿宋"/>
          <w:sz w:val="32"/>
          <w:szCs w:val="32"/>
        </w:rPr>
        <w:t>拥有一支学术水平高、实践经验丰富的导师队伍，在培养中切实落实双导师制，实现学生研究-实践技能双提升。本专业学位点有着很好的历史沉淀，有着优良的教风，人才培养质量不断提升，就业率高，就业质量优良。</w:t>
      </w:r>
    </w:p>
    <w:p w14:paraId="2DA833A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outlineLvl w:val="1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研究方向</w:t>
      </w:r>
    </w:p>
    <w:p w14:paraId="7EADA6AB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当前依据学科研究热点与前沿形成了三个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</w:t>
      </w:r>
      <w:r>
        <w:rPr>
          <w:rFonts w:hint="eastAsia" w:ascii="仿宋" w:hAnsi="仿宋" w:eastAsia="仿宋" w:cs="仿宋"/>
          <w:sz w:val="32"/>
          <w:szCs w:val="32"/>
        </w:rPr>
        <w:t>方向：数据分析与决策支持，为学科支撑，以定量方法为特色，主要研究内容包括大数据管理、数据分析与挖掘、数据治理、计量和评价；知识组织与数字人文，为学科特色，与山西大学图书馆等院所合作，利用本体、关联数据、RDF、知识图谱与数字化发现等方法进行研究，形成对晋商学、云冈学、各类文化遗产等的开发利用；竞争情报与信息服务，为学科服务社会的主要途径，面向馆舍与企业，利用信息分析工具进行分析，以管理咨询服务、辅助决策为主要途径，服务企事业单位发展。</w:t>
      </w:r>
    </w:p>
    <w:p w14:paraId="2BC74A0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outlineLvl w:val="1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培养方向</w:t>
      </w:r>
    </w:p>
    <w:p w14:paraId="24594EBD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依据大数据人工智能时代新特点，本学位点设立三个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培养</w:t>
      </w:r>
      <w:r>
        <w:rPr>
          <w:rFonts w:hint="eastAsia" w:ascii="仿宋" w:hAnsi="仿宋" w:eastAsia="仿宋" w:cs="仿宋"/>
          <w:sz w:val="32"/>
          <w:szCs w:val="32"/>
        </w:rPr>
        <w:t>方向：情报学，重点研究数据分析与决策支持、个人数据保护、机器学习与数据挖掘等领域；数字人文，重点研究信息组织与知识图谱、古建筑保护、旅游景区开发等领域，彰显晋商特色；图书馆学，主要包括图书馆服务质量与评价、图书馆用户信息行为智能识别及智慧化服务等领域。</w:t>
      </w:r>
    </w:p>
    <w:p w14:paraId="1A78C4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outlineLvl w:val="1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师资队伍</w:t>
      </w:r>
    </w:p>
    <w:p w14:paraId="716DA564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  <w:woUserID w:val="2"/>
        </w:rPr>
        <w:t>本专业学位现有校内导师15位，校外导师15位，共30位，其中27位都具有高级职称。教师队伍中，老、中、青结合，校内导师中45岁以下9人，年富力强，经验丰富，有很好的发展潜力。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目前有山西省高等学校优秀青年学术带头人1人、山西省高等学校131领军人才工程1人、中国管理科学学会特约研究员1人、中国科技情报学会理事1人。   </w:t>
      </w:r>
    </w:p>
    <w:p w14:paraId="10CFD3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outlineLvl w:val="1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培养条件</w:t>
      </w:r>
    </w:p>
    <w:p w14:paraId="2A0683A4">
      <w:pPr>
        <w:numPr>
          <w:ilvl w:val="0"/>
          <w:numId w:val="0"/>
        </w:numPr>
        <w:spacing w:line="360" w:lineRule="auto"/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拥有“一体两翼三核”的科研平台体系和充足的科研经费。以教育部“三全育人”综合改革试点院育人平台为统领（即一体），依托“山西数字人文研究院/山西数字出版研发中心”、“山西大学管理与决策研究中心”两个省级研究基地（即两翼），打造“山西大学科学评价研究中心”“数据分析与数字人文实验室”，“政策仿真与决策支持实验室”三个研发机构（即三核），实现师生共创，为学位点人才培养奠定坚实平台基础。2023年拥有学科建设经费25万。为学位点的科研活动开展奠定良好的基础。</w:t>
      </w:r>
    </w:p>
    <w:p w14:paraId="088115BA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2、已签约</w:t>
      </w:r>
      <w:r>
        <w:rPr>
          <w:rFonts w:hint="eastAsia" w:ascii="仿宋" w:hAnsi="仿宋" w:eastAsia="仿宋" w:cs="仿宋"/>
          <w:sz w:val="32"/>
          <w:szCs w:val="32"/>
          <w:lang w:val="en-US" w:eastAsia="zh"/>
          <w:woUserID w:val="2"/>
        </w:rPr>
        <w:t>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个实习基地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，包括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山西省图书馆、山西省科学技术情报研究所、山西同方知网数字出版技术有限公司、山西大学图书馆、太原市图书馆、山西省委党校图书馆。拥有省级及以上单位</w:t>
      </w:r>
      <w:r>
        <w:rPr>
          <w:rFonts w:hint="eastAsia" w:ascii="仿宋" w:hAnsi="仿宋" w:eastAsia="仿宋" w:cs="仿宋"/>
          <w:sz w:val="32"/>
          <w:szCs w:val="32"/>
          <w:lang w:val="en-US" w:eastAsia="zh"/>
          <w:woUserID w:val="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家，企事业单位结合，每年接收30-40名专业硕士进行至少半年的实践。实践基地拥有大量的中外文图书、报纸、期刊杂志等实体与虚拟馆藏资源，拥有大量的专业电子数据库资源，拥有完整规范的读者服务流程与场地，为专业硕士锻炼提升图书馆方面的业务技能、知晓企业运作的流程与要求提供良好的环境与机会。</w:t>
      </w:r>
    </w:p>
    <w:p w14:paraId="11BC92DB">
      <w:pPr>
        <w:numPr>
          <w:ilvl w:val="0"/>
          <w:numId w:val="0"/>
        </w:num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课程体系完备。设置有四门学科基础课、四门专业课、九门专业选修课。涵盖有传统的图情档的基本理论与方法、信息资源与数据管理、信息组织与检索、档案管理研究等内容，也增加了大数据、数据挖掘、机器学习等方面前沿课程，同时增设了古籍整理与保护研究传统优势课程。适应人才培养的多元化要求。</w:t>
      </w:r>
    </w:p>
    <w:p w14:paraId="227C651D">
      <w:pPr>
        <w:numPr>
          <w:ilvl w:val="0"/>
          <w:numId w:val="0"/>
        </w:num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4、导学互促，和谐师生关系。采用“集体研讨+一对一指导”方式，严格遵守《山西大学研究生导师指导行为准则》，融入生涯教育，密切了导学关系，保证了培养质量。 </w:t>
      </w:r>
    </w:p>
    <w:p w14:paraId="3C76A5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</w:rPr>
      </w:pPr>
      <w:r>
        <w:rPr>
          <w:rFonts w:hint="default"/>
        </w:rPr>
        <w:t>二、学位授权点年度建设取得的成绩</w:t>
      </w:r>
    </w:p>
    <w:p w14:paraId="56DAA51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outlineLvl w:val="1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制度建设</w:t>
      </w:r>
    </w:p>
    <w:p w14:paraId="759B6E6E">
      <w:pPr>
        <w:numPr>
          <w:ilvl w:val="0"/>
          <w:numId w:val="0"/>
        </w:num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继续强化学科竞争力、研究生培养质量提升方面制度建设。继续以《提升学科竞争力建设方案（试行）》为基准，对团队建设、教师发展与提升、教材出版、教学案例库建设、讲座举办、全国性或国际性学术会议举办等方面提出了激励措施，确保学科竞争力稳步提升。继续贯彻执行《经济与管理学院提升研究生培养质量建设方案》，对研究生论文撰写、参与实践、资格认证等方面都做了积极引导和激励，有助于补齐短板，提升研究生创新能力。</w:t>
      </w:r>
    </w:p>
    <w:p w14:paraId="27F3CE4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outlineLvl w:val="1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师资队伍建设</w:t>
      </w:r>
    </w:p>
    <w:p w14:paraId="1E91A9DD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范导师评聘细则，注重导师遴选质量。按照《山西大学经济与管理学院硕士研究生导师遴选条件》，严格校内、校外研究生导师遴选与导师招生资格审核机制，对选聘导师进行党委前置把关、党政联席会审议等多环节把控，确保导师遴选质量。每年对导师的招生资格进行严格审核。每年选派11位教师参加各类培训，提升了自身素质，贯彻了终身教育的理念。切实落实“双导师”制。校内导师负责培养方案制定、知识讲授和科研训练，校外导师负责实践能力培养，专业实习指导，协力提升学生综合素质。特新邀请4位校外导师加入到培养队伍中来，这4位导师都有丰富的管理和实践经验，一直以来便对山西大学的专硕教育给予很大支持，他们的加入必将有利于专硕双导师制更好的执行。以学校“千人计划”为契机，广泛招揽学科相关领域人才。正在进行简历筛选和博士师资人才来晋洽谈。</w:t>
      </w:r>
    </w:p>
    <w:p w14:paraId="4142BD0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outlineLvl w:val="1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培养条件建设</w:t>
      </w:r>
    </w:p>
    <w:p w14:paraId="715D123A">
      <w:pPr>
        <w:numPr>
          <w:ilvl w:val="0"/>
          <w:numId w:val="0"/>
        </w:num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注重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课程</w:t>
      </w:r>
      <w:r>
        <w:rPr>
          <w:rFonts w:hint="eastAsia" w:ascii="仿宋" w:hAnsi="仿宋" w:eastAsia="仿宋" w:cs="仿宋"/>
          <w:sz w:val="32"/>
          <w:szCs w:val="32"/>
        </w:rPr>
        <w:t>的科学设置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增加领域知识图谱构建与数字人文、大数据分析与挖掘、机器学习理论与方法等与人工智能、大数据对接的课程。继续</w:t>
      </w:r>
      <w:r>
        <w:rPr>
          <w:rFonts w:hint="eastAsia" w:ascii="仿宋" w:hAnsi="仿宋" w:eastAsia="仿宋" w:cs="仿宋"/>
          <w:sz w:val="32"/>
          <w:szCs w:val="32"/>
        </w:rPr>
        <w:t>开设全英文授课课程，提升研究生国际交流能力，扩大研究视野。聘请两位外籍教师开设全英文的两门课程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将国外的相关前沿知识讲授给学生，学生们不仅学到了最新的相关知识和方法，也锻炼了英语交流能力。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继续推进案例开发。</w:t>
      </w:r>
      <w:r>
        <w:rPr>
          <w:rFonts w:hint="eastAsia" w:ascii="仿宋" w:hAnsi="仿宋" w:eastAsia="仿宋" w:cs="仿宋"/>
          <w:sz w:val="32"/>
          <w:szCs w:val="32"/>
          <w:lang w:val="en-US" w:eastAsia="zh"/>
          <w:woUserID w:val="2"/>
        </w:rPr>
        <w:t>目前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形成了《山西大学图书情报案例库》，在图书情报教指委主办的2023年全国性案例大赛中，取得了良好成绩，获得全国性优秀案例奖3项，此外，入选各类优秀案例库2项，位居全国前列。</w:t>
      </w:r>
    </w:p>
    <w:p w14:paraId="51D0575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outlineLvl w:val="1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科学研究工作</w:t>
      </w:r>
    </w:p>
    <w:p w14:paraId="77DA9606">
      <w:pPr>
        <w:numPr>
          <w:ilvl w:val="0"/>
          <w:numId w:val="0"/>
        </w:numPr>
        <w:spacing w:line="360" w:lineRule="auto"/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2023年，共争取到横纵向科研项目13项，总额为资金130余万元，其中国家社科基金1项，省级项目3项。共发表高水平论文11篇。</w:t>
      </w:r>
    </w:p>
    <w:p w14:paraId="70E5F77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outlineLvl w:val="1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招生与培养等工作取得的成绩</w:t>
      </w:r>
    </w:p>
    <w:p w14:paraId="1C19E1A2">
      <w:pPr>
        <w:numPr>
          <w:ilvl w:val="0"/>
          <w:numId w:val="0"/>
        </w:numPr>
        <w:spacing w:line="360" w:lineRule="auto"/>
        <w:ind w:left="0" w:leftChars="0" w:firstLine="640" w:firstLineChars="200"/>
        <w:outlineLvl w:val="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研究生规模</w:t>
      </w:r>
    </w:p>
    <w:p w14:paraId="39314654">
      <w:pPr>
        <w:numPr>
          <w:ilvl w:val="0"/>
          <w:numId w:val="0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研究生报考人数逐年递增：202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年，报考人数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478</w:t>
      </w:r>
      <w:r>
        <w:rPr>
          <w:rFonts w:hint="eastAsia" w:ascii="仿宋" w:hAnsi="仿宋" w:eastAsia="仿宋" w:cs="仿宋"/>
          <w:sz w:val="32"/>
          <w:szCs w:val="32"/>
        </w:rPr>
        <w:t>人，录取分数线为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224</w:t>
      </w:r>
      <w:r>
        <w:rPr>
          <w:rFonts w:hint="eastAsia" w:ascii="仿宋" w:hAnsi="仿宋" w:eastAsia="仿宋" w:cs="仿宋"/>
          <w:sz w:val="32"/>
          <w:szCs w:val="32"/>
        </w:rPr>
        <w:t>分，超过国家线26分。当前在读研究生达到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lang w:val="en-US" w:eastAsia="zh"/>
          <w:woUserID w:val="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人，其中2021级35人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2022级36人</w:t>
      </w:r>
      <w:r>
        <w:rPr>
          <w:rFonts w:hint="eastAsia" w:ascii="仿宋" w:hAnsi="仿宋" w:eastAsia="仿宋" w:cs="仿宋"/>
          <w:sz w:val="32"/>
          <w:szCs w:val="32"/>
          <w:lang w:val="en-US" w:eastAsia="zh"/>
          <w:woUserID w:val="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2023级4</w:t>
      </w:r>
      <w:r>
        <w:rPr>
          <w:rFonts w:hint="eastAsia" w:ascii="仿宋" w:hAnsi="仿宋" w:eastAsia="仿宋" w:cs="仿宋"/>
          <w:sz w:val="32"/>
          <w:szCs w:val="32"/>
          <w:lang w:val="en-US" w:eastAsia="zh"/>
          <w:woUserID w:val="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人，比2022年多出1</w:t>
      </w:r>
      <w:r>
        <w:rPr>
          <w:rFonts w:hint="eastAsia" w:ascii="仿宋" w:hAnsi="仿宋" w:eastAsia="仿宋" w:cs="仿宋"/>
          <w:sz w:val="32"/>
          <w:szCs w:val="32"/>
          <w:lang w:val="en-US" w:eastAsia="zh"/>
          <w:woUserID w:val="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人。</w:t>
      </w:r>
    </w:p>
    <w:p w14:paraId="4A8329F5">
      <w:pPr>
        <w:pStyle w:val="6"/>
        <w:shd w:val="clear" w:color="auto" w:fill="FFFFFF"/>
        <w:spacing w:before="0" w:beforeAutospacing="0" w:after="0" w:afterAutospacing="0" w:line="360" w:lineRule="auto"/>
        <w:ind w:firstLine="615"/>
        <w:outlineLvl w:val="2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2、学术交流情况</w:t>
      </w:r>
    </w:p>
    <w:p w14:paraId="3DC14C3E">
      <w:pPr>
        <w:numPr>
          <w:ilvl w:val="0"/>
          <w:numId w:val="0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2023年，本专业学位师生通过各种形式（线下和线上）参加学术交流共计20余次。在本校线下举行学术交流1次，参与举办全国性会议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" w:bidi="ar-SA"/>
          <w:woUserID w:val="2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次，线上线下参会人员达到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" w:bidi="ar-SA"/>
          <w:woUserID w:val="2"/>
        </w:rPr>
        <w:t>1000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余人。扩大了学科学术影响。</w:t>
      </w:r>
    </w:p>
    <w:p w14:paraId="2431D9BE">
      <w:pPr>
        <w:pStyle w:val="6"/>
        <w:shd w:val="clear" w:color="auto" w:fill="FFFFFF"/>
        <w:spacing w:before="0" w:beforeAutospacing="0" w:after="0" w:afterAutospacing="0" w:line="360" w:lineRule="auto"/>
        <w:ind w:firstLine="615"/>
        <w:outlineLvl w:val="2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3、研究生奖助情况</w:t>
      </w:r>
    </w:p>
    <w:p w14:paraId="0449A183">
      <w:pPr>
        <w:pStyle w:val="6"/>
        <w:shd w:val="clear" w:color="auto" w:fill="FFFFFF"/>
        <w:spacing w:before="0" w:beforeAutospacing="0" w:after="0" w:afterAutospacing="0" w:line="360" w:lineRule="auto"/>
        <w:ind w:firstLine="615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2023年，145人获得国家助学金，总金额64.08万元；93人获得学业奖学金，总金额34.3万元；当前，奖助制度惠及绝大部分学生，鼓励他们安心学习，全身心提升竞争力。</w:t>
      </w:r>
    </w:p>
    <w:p w14:paraId="70768CD4">
      <w:pPr>
        <w:pStyle w:val="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firstLine="615"/>
        <w:outlineLvl w:val="2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学生竞赛和获得资格证情况</w:t>
      </w:r>
    </w:p>
    <w:p w14:paraId="71CB54C0"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" w:bidi="ar-SA"/>
          <w:woUserID w:val="2"/>
        </w:rPr>
        <w:t>在2023年，专硕学生获得国家级金奖2项、银奖1项、铜奖1项，其他国家级奖项2项，省级以上奖项6项，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在2023年，专硕学生1人获得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" w:bidi="ar-SA"/>
          <w:woUserID w:val="2"/>
        </w:rPr>
        <w:t>全国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计算机技术与软件专业技术资格（初级）、1人获得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" w:bidi="ar-SA"/>
          <w:woUserID w:val="2"/>
        </w:rPr>
        <w:t>全国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计算机技术与软件专业技术资格（中级）。</w:t>
      </w:r>
    </w:p>
    <w:p w14:paraId="14894609"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640" w:firstLineChars="200"/>
        <w:outlineLvl w:val="2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5、毕业研究生签约情况</w:t>
      </w:r>
    </w:p>
    <w:p w14:paraId="0732D9F5"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2023届研究生中就业党政机关8人、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高等教育单位9人、中初等教育单位1人、其他事业单位5人、国有企业2人、民营企业5人、自主创业1人、升学1人</w:t>
      </w: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签约率96.88%</w:t>
      </w:r>
    </w:p>
    <w:p w14:paraId="7453FF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三、</w:t>
      </w:r>
      <w:r>
        <w:rPr>
          <w:rFonts w:hint="default"/>
        </w:rPr>
        <w:t>学位授权点学位点建设存在的问题</w:t>
      </w:r>
    </w:p>
    <w:p w14:paraId="526E04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outlineLvl w:val="1"/>
        <w:rPr>
          <w:rFonts w:hint="eastAsia" w:ascii="仿宋" w:hAnsi="仿宋" w:eastAsia="仿宋" w:cs="仿宋"/>
          <w:sz w:val="32"/>
          <w:szCs w:val="32"/>
          <w:lang w:eastAsia="zh"/>
          <w:woUserID w:val="1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（一）人才培养质量有待进一步提升</w:t>
      </w:r>
    </w:p>
    <w:p w14:paraId="6C40C7BB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  <w:woUserID w:val="1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  <w:woUserID w:val="1"/>
        </w:rPr>
        <w:t>教师队伍出现断层，多年无新教师引进。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青年教师是重要的生力军和未来的学术骨干，青年教师的未引进，在后续科研、教学等方面会</w:t>
      </w:r>
      <w:r>
        <w:rPr>
          <w:rFonts w:hint="eastAsia" w:ascii="仿宋" w:hAnsi="仿宋" w:eastAsia="仿宋" w:cs="仿宋"/>
          <w:sz w:val="32"/>
          <w:szCs w:val="32"/>
          <w:lang w:val="en-US" w:eastAsia="zh"/>
          <w:woUserID w:val="1"/>
        </w:rPr>
        <w:t>造成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断层。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  <w:woUserID w:val="1"/>
        </w:rPr>
        <w:t>教师老化较为严重，近10年未引入新教师。2019年已退休1名教授，未来两年还有2名教授面临退休，到时50岁以上教师只有1位。除了老化以外， 2013年2023年没有引入1名新教师，队伍</w:t>
      </w:r>
      <w:r>
        <w:rPr>
          <w:rFonts w:hint="eastAsia" w:ascii="仿宋" w:hAnsi="仿宋" w:cs="仿宋"/>
          <w:sz w:val="32"/>
          <w:szCs w:val="32"/>
          <w:lang w:val="en-US" w:eastAsia="zh-CN"/>
          <w:woUserID w:val="1"/>
        </w:rPr>
        <w:t>规模日益缩小</w:t>
      </w:r>
      <w:r>
        <w:rPr>
          <w:rFonts w:hint="eastAsia" w:ascii="仿宋" w:hAnsi="仿宋" w:eastAsia="仿宋" w:cs="仿宋"/>
          <w:sz w:val="32"/>
          <w:szCs w:val="32"/>
          <w:lang w:val="en-US" w:eastAsia="zh-CN"/>
          <w:woUserID w:val="1"/>
        </w:rPr>
        <w:t>。</w:t>
      </w:r>
      <w:r>
        <w:rPr>
          <w:rFonts w:hint="eastAsia" w:ascii="仿宋" w:hAnsi="仿宋" w:eastAsia="仿宋" w:cs="仿宋"/>
          <w:sz w:val="32"/>
          <w:szCs w:val="32"/>
          <w:woUserID w:val="1"/>
        </w:rPr>
        <w:t>当前，案例库还不完善，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  <w:woUserID w:val="1"/>
        </w:rPr>
        <w:t>虽有获奖案例入库但是数量上需要进一步增加</w:t>
      </w:r>
      <w:r>
        <w:rPr>
          <w:rFonts w:hint="eastAsia" w:ascii="仿宋" w:hAnsi="仿宋" w:eastAsia="仿宋" w:cs="仿宋"/>
          <w:sz w:val="32"/>
          <w:szCs w:val="32"/>
          <w:woUserID w:val="1"/>
        </w:rPr>
        <w:t>。毕业论文主要形式还是学术论文，还缺乏高质量研究报告、案例分析、调查报告等形式。</w:t>
      </w:r>
    </w:p>
    <w:p w14:paraId="1C28FB7F">
      <w:pPr>
        <w:spacing w:line="360" w:lineRule="auto"/>
        <w:ind w:firstLine="643" w:firstLineChars="200"/>
        <w:outlineLvl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" w:hAnsi="仿宋" w:cs="仿宋"/>
          <w:b/>
          <w:bCs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" w:hAnsi="仿宋" w:cs="仿宋"/>
          <w:b/>
          <w:bCs/>
          <w:kern w:val="2"/>
          <w:sz w:val="32"/>
          <w:szCs w:val="32"/>
          <w:lang w:val="en-US" w:eastAsia="zh-CN" w:bidi="ar-SA"/>
        </w:rPr>
        <w:t>科研与教学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资源</w:t>
      </w:r>
      <w:r>
        <w:rPr>
          <w:rFonts w:hint="eastAsia" w:ascii="仿宋" w:hAnsi="仿宋" w:cs="仿宋"/>
          <w:b/>
          <w:bCs/>
          <w:kern w:val="2"/>
          <w:sz w:val="32"/>
          <w:szCs w:val="32"/>
          <w:lang w:val="en-US" w:eastAsia="zh-CN" w:bidi="ar-SA"/>
        </w:rPr>
        <w:t>有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待更新</w:t>
      </w:r>
    </w:p>
    <w:p w14:paraId="1D5D927E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学位授权点目前获得的科研资源与教学资源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对于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目前深度学习、数据挖掘、机器学习等课程内容对于机器性能的要求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来说还有不足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，未来应加大教育资源投入，进一步完善高性能计算机、数据处理和数据分析软件平台等教学设施建设。</w:t>
      </w:r>
      <w:r>
        <w:rPr>
          <w:rFonts w:hint="eastAsia" w:ascii="仿宋" w:hAnsi="仿宋" w:eastAsia="仿宋" w:cs="仿宋"/>
          <w:sz w:val="32"/>
          <w:szCs w:val="32"/>
          <w:lang w:val="en-US" w:eastAsia="zh"/>
          <w:woUserID w:val="1"/>
        </w:rPr>
        <w:t>目前学科建设新开的一些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机器学习</w:t>
      </w:r>
      <w:r>
        <w:rPr>
          <w:rFonts w:hint="eastAsia" w:ascii="仿宋" w:hAnsi="仿宋" w:eastAsia="仿宋" w:cs="仿宋"/>
          <w:sz w:val="32"/>
          <w:szCs w:val="32"/>
          <w:lang w:val="en-US" w:eastAsia="zh"/>
          <w:woUserID w:val="1"/>
        </w:rPr>
        <w:t>、大数据分析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等课程</w:t>
      </w:r>
      <w:r>
        <w:rPr>
          <w:rFonts w:hint="eastAsia" w:ascii="仿宋" w:hAnsi="仿宋" w:eastAsia="仿宋" w:cs="仿宋"/>
          <w:sz w:val="32"/>
          <w:szCs w:val="32"/>
          <w:lang w:val="en-US" w:eastAsia="zh"/>
          <w:woUserID w:val="1"/>
        </w:rPr>
        <w:t>需要购置。学科建设经费仍需提高，此外校外捐赠和自筹经费来源不稳定，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相关设备采购。</w:t>
      </w:r>
    </w:p>
    <w:p w14:paraId="0590E75C">
      <w:pPr>
        <w:spacing w:line="360" w:lineRule="auto"/>
        <w:ind w:firstLine="643" w:firstLineChars="200"/>
        <w:outlineLvl w:val="2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" w:hAnsi="仿宋" w:cs="仿宋"/>
          <w:b/>
          <w:bCs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对外交流有待进一步提升</w:t>
      </w:r>
    </w:p>
    <w:p w14:paraId="2710ED64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与国内外知名高校虽然建立了校级交流关系，交流方式主要包括远程教学、学术交流，缺乏更深层次的科研合作。这可能受制于科研合作成果荣誉分配，学生交流主动性缺乏等因素。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  <w:woUserID w:val="1"/>
        </w:rPr>
        <w:t>国内外交流促进机制体制不足</w:t>
      </w:r>
      <w:r>
        <w:rPr>
          <w:rFonts w:hint="eastAsia" w:ascii="仿宋" w:hAnsi="仿宋" w:eastAsia="仿宋" w:cs="仿宋"/>
          <w:sz w:val="32"/>
          <w:szCs w:val="32"/>
          <w:lang w:val="en-US" w:eastAsia="zh"/>
          <w:woUserID w:val="3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学科缺乏接收国外留学生的传统，很多教师未</w:t>
      </w:r>
      <w:r>
        <w:rPr>
          <w:rFonts w:hint="eastAsia" w:ascii="仿宋" w:hAnsi="仿宋" w:eastAsia="仿宋" w:cs="仿宋"/>
          <w:sz w:val="32"/>
          <w:szCs w:val="32"/>
          <w:lang w:val="en-US" w:eastAsia="zh"/>
          <w:woUserID w:val="1"/>
        </w:rPr>
        <w:t>培养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过国外留学生。</w:t>
      </w:r>
      <w:r>
        <w:rPr>
          <w:rFonts w:hint="eastAsia" w:ascii="仿宋" w:hAnsi="仿宋" w:eastAsia="仿宋" w:cs="仿宋"/>
          <w:sz w:val="32"/>
          <w:szCs w:val="32"/>
          <w:lang w:val="en-US" w:eastAsia="zh"/>
          <w:woUserID w:val="1"/>
        </w:rPr>
        <w:t>疫情以来，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教师去国外开会并</w:t>
      </w:r>
      <w:r>
        <w:rPr>
          <w:rFonts w:hint="eastAsia" w:ascii="仿宋" w:hAnsi="仿宋" w:eastAsia="仿宋" w:cs="仿宋"/>
          <w:sz w:val="32"/>
          <w:szCs w:val="32"/>
          <w:lang w:val="en-US" w:eastAsia="zh"/>
          <w:woUserID w:val="1"/>
        </w:rPr>
        <w:t>进行学术报告的机会较少，大多通过在线参会的形式进行。</w:t>
      </w:r>
    </w:p>
    <w:p w14:paraId="7C5FF9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</w:rPr>
      </w:pPr>
      <w:r>
        <w:rPr>
          <w:rFonts w:hint="default"/>
        </w:rPr>
        <w:t>四、学位授权点下一年度建设计划</w:t>
      </w:r>
    </w:p>
    <w:p w14:paraId="127CDC6C">
      <w:pPr>
        <w:pStyle w:val="6"/>
        <w:shd w:val="clear" w:color="auto" w:fill="FFFFFF"/>
        <w:spacing w:before="0" w:beforeAutospacing="0" w:after="0" w:afterAutospacing="0" w:line="360" w:lineRule="auto"/>
        <w:ind w:firstLine="61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  <w:woUserID w:val="2"/>
        </w:rPr>
        <w:t>针对存在问题，对标兄弟院校的发展状况，山西大学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" w:bidi="ar-SA"/>
          <w:woUserID w:val="2"/>
        </w:rPr>
        <w:t>图书情报专硕学位点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  <w:woUserID w:val="2"/>
        </w:rPr>
        <w:t>将进一步加大人才引进，引育并重，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" w:bidi="ar-SA"/>
          <w:woUserID w:val="2"/>
        </w:rPr>
        <w:t>打造优势师资团队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  <w:woUserID w:val="2"/>
        </w:rPr>
        <w:t>；加大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" w:bidi="ar-SA"/>
          <w:woUserID w:val="2"/>
        </w:rPr>
        <w:t>国际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  <w:woUserID w:val="2"/>
        </w:rPr>
        <w:t>交流力度，提高学科显示度；改善办学条件，创建一流学习工作环境；追求学术卓越，产出更多高质量成果。通过不断努力，把图书情报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" w:bidi="ar-SA"/>
          <w:woUserID w:val="2"/>
        </w:rPr>
        <w:t>专业学位点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  <w:woUserID w:val="2"/>
        </w:rPr>
        <w:t>建设成为区域特色鲜明的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  <w:woUserID w:val="2"/>
        </w:rPr>
        <w:t>可持续、良性、高质量发展</w:t>
      </w:r>
      <w:r>
        <w:rPr>
          <w:rFonts w:hint="eastAsia" w:ascii="仿宋" w:hAnsi="仿宋" w:eastAsia="仿宋" w:cs="仿宋"/>
          <w:sz w:val="32"/>
          <w:szCs w:val="32"/>
          <w:lang w:val="en-US" w:eastAsia="zh"/>
          <w:woUserID w:val="2"/>
        </w:rPr>
        <w:t>的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  <w:woUserID w:val="2"/>
        </w:rPr>
        <w:t>一流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" w:bidi="ar-SA"/>
          <w:woUserID w:val="2"/>
        </w:rPr>
        <w:t>学位点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  <w:woUserID w:val="2"/>
        </w:rPr>
        <w:t>，具体计划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" w:bidi="ar-SA"/>
          <w:woUserID w:val="2"/>
        </w:rPr>
        <w:t>如下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  <w:woUserID w:val="2"/>
        </w:rPr>
        <w:t>：</w:t>
      </w:r>
    </w:p>
    <w:p w14:paraId="5297DE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" w:bidi="ar-SA"/>
        </w:rPr>
        <w:t>（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" w:bidi="ar-SA"/>
        </w:rPr>
        <w:t>）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 xml:space="preserve">提升导师队伍整体水平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6F8F40F7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  <w:woUserID w:val="2"/>
        </w:rPr>
        <w:t>结合本学位授权点研究特色与未来研究方向，面向国内外信息资源管理领域知名院校招揽人才</w:t>
      </w:r>
      <w:r>
        <w:rPr>
          <w:rFonts w:hint="eastAsia" w:ascii="仿宋" w:hAnsi="仿宋" w:eastAsia="仿宋" w:cs="仿宋"/>
          <w:sz w:val="32"/>
          <w:szCs w:val="32"/>
          <w:lang w:val="en-US" w:eastAsia="zh"/>
          <w:woUserID w:val="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  <w:woUserID w:val="2"/>
        </w:rPr>
        <w:t>引进</w:t>
      </w:r>
      <w:r>
        <w:rPr>
          <w:rFonts w:hint="eastAsia" w:ascii="仿宋" w:hAnsi="仿宋" w:cs="仿宋"/>
          <w:color w:val="000000"/>
          <w:sz w:val="32"/>
          <w:szCs w:val="32"/>
          <w:lang w:val="en-US" w:eastAsia="zh-CN"/>
          <w:woUserID w:val="2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  <w:woUserID w:val="2"/>
        </w:rPr>
        <w:t>名</w:t>
      </w:r>
      <w:r>
        <w:rPr>
          <w:rFonts w:hint="eastAsia" w:ascii="仿宋" w:hAnsi="仿宋" w:cs="仿宋"/>
          <w:color w:val="000000"/>
          <w:sz w:val="32"/>
          <w:szCs w:val="32"/>
          <w:lang w:val="en-US" w:eastAsia="zh-CN"/>
          <w:woUserID w:val="2"/>
        </w:rPr>
        <w:t>左右</w:t>
      </w:r>
      <w:r>
        <w:rPr>
          <w:rFonts w:hint="eastAsia" w:ascii="仿宋" w:hAnsi="仿宋" w:eastAsia="仿宋" w:cs="仿宋"/>
          <w:sz w:val="32"/>
          <w:szCs w:val="32"/>
          <w:lang w:val="en-US" w:eastAsia="zh-CN"/>
          <w:woUserID w:val="2"/>
        </w:rPr>
        <w:t>国内985院校优秀博士或博士后</w:t>
      </w:r>
      <w:r>
        <w:rPr>
          <w:rFonts w:hint="eastAsia" w:ascii="仿宋" w:hAnsi="仿宋" w:eastAsia="仿宋" w:cs="仿宋"/>
          <w:sz w:val="32"/>
          <w:szCs w:val="32"/>
          <w:lang w:val="en-US" w:eastAsia="zh"/>
          <w:woUserID w:val="2"/>
        </w:rPr>
        <w:t>。多措并举，打造优势师资队伍。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加强教师人才引进。针对师资老化和新教师空缺的情况，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" w:bidi="ar-SA"/>
          <w:woUserID w:val="2"/>
        </w:rPr>
        <w:t>抓住学校“千人计划”机会，积极通过各种途径与985高校人才接洽，讲明薪资与优厚的待遇条件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同时，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深入校企协同，加大校企交流。邀请校外导师开展专题讲座，寻找双方合作契合点，共同开展科研攻关，提升教师服务社会的能力。</w:t>
      </w:r>
    </w:p>
    <w:p w14:paraId="31D6216C">
      <w:pPr>
        <w:pStyle w:val="6"/>
        <w:shd w:val="clear" w:color="auto" w:fill="FFFFFF"/>
        <w:spacing w:before="0" w:beforeAutospacing="0" w:after="0" w:afterAutospacing="0" w:line="360" w:lineRule="auto"/>
        <w:ind w:firstLine="643" w:firstLineChars="200"/>
        <w:outlineLvl w:val="1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" w:bidi="ar-SA"/>
        </w:rPr>
        <w:t>（二）完善学生培养模式</w:t>
      </w:r>
    </w:p>
    <w:p w14:paraId="20CFC5FB">
      <w:pPr>
        <w:pStyle w:val="6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woUserID w:val="1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加强学生过程培养，积极做好引导，突出专硕特色，切实提升解决实际问题的能力。要进一步将专硕和学硕的培养区分开来，包括课程设置、毕业论文形式方面进一步出台具体政策，更加契合专硕以应用为导向的培养目标，提升专硕的动手能力，使学生获得感更强。</w:t>
      </w:r>
    </w:p>
    <w:p w14:paraId="15E5AB45">
      <w:pPr>
        <w:pStyle w:val="6"/>
        <w:shd w:val="clear" w:color="auto" w:fill="FFFFFF"/>
        <w:spacing w:before="0" w:beforeAutospacing="0" w:after="0" w:afterAutospacing="0" w:line="360" w:lineRule="auto"/>
        <w:ind w:firstLine="643" w:firstLineChars="200"/>
        <w:outlineLvl w:val="1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" w:bidi="ar-SA"/>
        </w:rPr>
        <w:t>（三）积极改善实验室环境与条件</w:t>
      </w:r>
    </w:p>
    <w:p w14:paraId="34C14745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" w:bidi="ar-SA"/>
          <w:woUserID w:val="2"/>
        </w:rPr>
        <w:t>依照新开课程的需要，配备相应的软硬件条件以达到授课要求。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" w:bidi="ar-SA"/>
          <w:woUserID w:val="3"/>
        </w:rPr>
        <w:t>今后，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" w:bidi="ar-SA"/>
          <w:woUserID w:val="2"/>
        </w:rPr>
        <w:t>在年初要求新开课程教师提交实验室设备采购清单，标明需要采购的名目、数量和价格。等到学科建设经费下来后择优进行改造资助。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88951C"/>
    <w:multiLevelType w:val="singleLevel"/>
    <w:tmpl w:val="8088951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378F1FF9"/>
    <w:multiLevelType w:val="singleLevel"/>
    <w:tmpl w:val="378F1FF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7DE95B5D"/>
    <w:multiLevelType w:val="singleLevel"/>
    <w:tmpl w:val="7DE95B5D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NWI4NDY3ZjcyYzNhN2U1NDRmYTM4ZWU1OTMwNDAifQ=="/>
  </w:docVars>
  <w:rsids>
    <w:rsidRoot w:val="48A0159C"/>
    <w:rsid w:val="00171ADB"/>
    <w:rsid w:val="00490FE6"/>
    <w:rsid w:val="004A7DC5"/>
    <w:rsid w:val="00594E9B"/>
    <w:rsid w:val="005D04CB"/>
    <w:rsid w:val="00610869"/>
    <w:rsid w:val="0063393D"/>
    <w:rsid w:val="006F6FE0"/>
    <w:rsid w:val="0083050D"/>
    <w:rsid w:val="00A654A9"/>
    <w:rsid w:val="00ED4B30"/>
    <w:rsid w:val="01101675"/>
    <w:rsid w:val="02BB0712"/>
    <w:rsid w:val="047451DB"/>
    <w:rsid w:val="06E72E78"/>
    <w:rsid w:val="07D63618"/>
    <w:rsid w:val="094B4725"/>
    <w:rsid w:val="0A044A5A"/>
    <w:rsid w:val="0A1D552E"/>
    <w:rsid w:val="0A9448DF"/>
    <w:rsid w:val="0AFEF584"/>
    <w:rsid w:val="0CD365E0"/>
    <w:rsid w:val="0DBD1348"/>
    <w:rsid w:val="0E932523"/>
    <w:rsid w:val="11074842"/>
    <w:rsid w:val="134B07AB"/>
    <w:rsid w:val="14754C89"/>
    <w:rsid w:val="149507B7"/>
    <w:rsid w:val="19894F54"/>
    <w:rsid w:val="1AA66E7A"/>
    <w:rsid w:val="1F531CE9"/>
    <w:rsid w:val="20F61405"/>
    <w:rsid w:val="238B4E5F"/>
    <w:rsid w:val="254A0D4A"/>
    <w:rsid w:val="27D112AE"/>
    <w:rsid w:val="2B7F32A3"/>
    <w:rsid w:val="2E0979F4"/>
    <w:rsid w:val="2E4C1D1A"/>
    <w:rsid w:val="2EAB0213"/>
    <w:rsid w:val="2FAB316A"/>
    <w:rsid w:val="2FD03228"/>
    <w:rsid w:val="3069731E"/>
    <w:rsid w:val="30A34086"/>
    <w:rsid w:val="335D5E0C"/>
    <w:rsid w:val="33B1623B"/>
    <w:rsid w:val="380056EB"/>
    <w:rsid w:val="39E21682"/>
    <w:rsid w:val="3BA64AD4"/>
    <w:rsid w:val="3DD60F75"/>
    <w:rsid w:val="3F6DF4C4"/>
    <w:rsid w:val="3FA03C9A"/>
    <w:rsid w:val="45034D69"/>
    <w:rsid w:val="466F1B72"/>
    <w:rsid w:val="469A3487"/>
    <w:rsid w:val="48A0159C"/>
    <w:rsid w:val="49A63EF1"/>
    <w:rsid w:val="49B60923"/>
    <w:rsid w:val="4AAB2BDD"/>
    <w:rsid w:val="4D7FB1A8"/>
    <w:rsid w:val="4F6021F6"/>
    <w:rsid w:val="50B06C0B"/>
    <w:rsid w:val="51925534"/>
    <w:rsid w:val="52816F9E"/>
    <w:rsid w:val="52ED493F"/>
    <w:rsid w:val="53323BD5"/>
    <w:rsid w:val="53A70F92"/>
    <w:rsid w:val="56B454AA"/>
    <w:rsid w:val="572867AB"/>
    <w:rsid w:val="5751056D"/>
    <w:rsid w:val="58CB5722"/>
    <w:rsid w:val="599F3ACC"/>
    <w:rsid w:val="5A3F462B"/>
    <w:rsid w:val="5AF16565"/>
    <w:rsid w:val="5B1E7D8B"/>
    <w:rsid w:val="5C9F6BCD"/>
    <w:rsid w:val="5CAD1764"/>
    <w:rsid w:val="5FDAE703"/>
    <w:rsid w:val="5FFE6065"/>
    <w:rsid w:val="608408DC"/>
    <w:rsid w:val="63276003"/>
    <w:rsid w:val="63A16619"/>
    <w:rsid w:val="63DB65FF"/>
    <w:rsid w:val="666A152F"/>
    <w:rsid w:val="67E10ABE"/>
    <w:rsid w:val="6BEB5585"/>
    <w:rsid w:val="6BFFA0A4"/>
    <w:rsid w:val="6DEB17D7"/>
    <w:rsid w:val="6E379BAF"/>
    <w:rsid w:val="6F9F3948"/>
    <w:rsid w:val="6FBEA5F1"/>
    <w:rsid w:val="6FFE1AE2"/>
    <w:rsid w:val="703A6FBE"/>
    <w:rsid w:val="7322536C"/>
    <w:rsid w:val="741C1C5C"/>
    <w:rsid w:val="7461346C"/>
    <w:rsid w:val="777D07AA"/>
    <w:rsid w:val="777D5307"/>
    <w:rsid w:val="77D943ED"/>
    <w:rsid w:val="77F8929F"/>
    <w:rsid w:val="78C0027C"/>
    <w:rsid w:val="795B7FA5"/>
    <w:rsid w:val="79660E24"/>
    <w:rsid w:val="796FC05F"/>
    <w:rsid w:val="7A7C9337"/>
    <w:rsid w:val="7BE7A00C"/>
    <w:rsid w:val="7EBB29EE"/>
    <w:rsid w:val="7ED93E46"/>
    <w:rsid w:val="7F6FADBE"/>
    <w:rsid w:val="7F7E664E"/>
    <w:rsid w:val="7FDBEEF5"/>
    <w:rsid w:val="7FEE5C00"/>
    <w:rsid w:val="7FF7C679"/>
    <w:rsid w:val="7FFF8DBA"/>
    <w:rsid w:val="96EE79A0"/>
    <w:rsid w:val="9B7F8511"/>
    <w:rsid w:val="9F0B1211"/>
    <w:rsid w:val="B7FE4EDE"/>
    <w:rsid w:val="BFDB5E47"/>
    <w:rsid w:val="CF7EBB53"/>
    <w:rsid w:val="D69EC315"/>
    <w:rsid w:val="DCCDB914"/>
    <w:rsid w:val="DDFC2004"/>
    <w:rsid w:val="DFE0B14C"/>
    <w:rsid w:val="DFF75CB4"/>
    <w:rsid w:val="E7FFE1CA"/>
    <w:rsid w:val="ED7D720F"/>
    <w:rsid w:val="F2F5916D"/>
    <w:rsid w:val="FAEF5D7B"/>
    <w:rsid w:val="FF7F27BE"/>
    <w:rsid w:val="FFBFA10F"/>
    <w:rsid w:val="FFFDEC20"/>
    <w:rsid w:val="FFFFC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360" w:lineRule="auto"/>
      <w:outlineLvl w:val="0"/>
    </w:pPr>
    <w:rPr>
      <w:rFonts w:ascii="Times New Roman" w:hAnsi="Times New Roman" w:eastAsia="黑体" w:cs="Times New Roman"/>
      <w:b/>
      <w:bCs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paragraph" w:customStyle="1" w:styleId="12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4067</Words>
  <Characters>4176</Characters>
  <Lines>1</Lines>
  <Paragraphs>1</Paragraphs>
  <TotalTime>2</TotalTime>
  <ScaleCrop>false</ScaleCrop>
  <LinksUpToDate>false</LinksUpToDate>
  <CharactersWithSpaces>4195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2021-03-07T10:21:00Z</dcterms:created>
  <dc:creator>K</dc:creator>
  <cp:lastModifiedBy>徐健panda</cp:lastModifiedBy>
  <dcterms:modified xsi:type="dcterms:W3CDTF">2025-03-25T09:33:40Z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A1E3E7468E0849F7B51F01D1F5FB6277_13</vt:lpwstr>
  </property>
  <property fmtid="{D5CDD505-2E9C-101B-9397-08002B2CF9AE}" pid="4" name="KSOTemplateDocerSaveRecord">
    <vt:lpwstr>eyJoZGlkIjoiMjgyMDExNzE5ZjE4N2QyZGIzNWJkOWJlN2JlZDRhMjYiLCJ1c2VySWQiOiIzMDYzNjEyMjAifQ==</vt:lpwstr>
  </property>
</Properties>
</file>