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FFFB0">
      <w:pPr>
        <w:pStyle w:val="2"/>
        <w:jc w:val="center"/>
        <w:rPr>
          <w:rFonts w:hint="eastAsia" w:ascii="黑体" w:eastAsia="黑体"/>
          <w:sz w:val="44"/>
          <w:szCs w:val="44"/>
        </w:rPr>
      </w:pPr>
      <w:r>
        <w:rPr>
          <w:spacing w:val="-6"/>
          <w:sz w:val="44"/>
          <w:szCs w:val="44"/>
        </w:rPr>
        <w:t>管理科学与工程一级学科博</w:t>
      </w:r>
      <w:r>
        <w:rPr>
          <w:sz w:val="44"/>
          <w:szCs w:val="44"/>
        </w:rPr>
        <w:t>（硕</w:t>
      </w:r>
      <w:r>
        <w:rPr>
          <w:spacing w:val="-68"/>
          <w:sz w:val="44"/>
          <w:szCs w:val="44"/>
        </w:rPr>
        <w:t>）</w:t>
      </w:r>
      <w:r>
        <w:rPr>
          <w:sz w:val="44"/>
          <w:szCs w:val="44"/>
        </w:rPr>
        <w:t>士学位授权点建设年度报告</w:t>
      </w:r>
      <w:r>
        <w:rPr>
          <w:rFonts w:hint="eastAsia" w:ascii="黑体" w:eastAsia="黑体"/>
          <w:sz w:val="44"/>
          <w:szCs w:val="44"/>
        </w:rPr>
        <w:t>（2023 年）</w:t>
      </w:r>
    </w:p>
    <w:p w14:paraId="1CA3343C">
      <w:pPr>
        <w:pStyle w:val="2"/>
        <w:jc w:val="center"/>
        <w:rPr>
          <w:rFonts w:hint="eastAsia" w:ascii="黑体" w:eastAsia="黑体"/>
          <w:sz w:val="44"/>
          <w:szCs w:val="44"/>
        </w:rPr>
      </w:pPr>
      <w:bookmarkStart w:id="3" w:name="_GoBack"/>
      <w:bookmarkEnd w:id="3"/>
    </w:p>
    <w:p w14:paraId="1641F9A6">
      <w:pPr>
        <w:spacing w:before="156" w:beforeLines="50" w:line="360" w:lineRule="auto"/>
        <w:rPr>
          <w:b/>
          <w:sz w:val="28"/>
        </w:rPr>
      </w:pPr>
      <w:r>
        <w:rPr>
          <w:rFonts w:hint="eastAsia" w:ascii="黑体" w:hAnsi="黑体" w:eastAsia="黑体" w:cs="黑体"/>
          <w:b/>
          <w:bCs/>
          <w:sz w:val="36"/>
          <w:szCs w:val="36"/>
        </w:rPr>
        <w:t>一、学位授权点基本情况</w:t>
      </w:r>
    </w:p>
    <w:p w14:paraId="111D423F">
      <w:pPr>
        <w:pStyle w:val="4"/>
        <w:spacing w:before="9"/>
        <w:ind w:left="0"/>
        <w:rPr>
          <w:b/>
          <w:sz w:val="20"/>
        </w:rPr>
      </w:pPr>
    </w:p>
    <w:p w14:paraId="10BE49A8">
      <w:pPr>
        <w:pStyle w:val="4"/>
        <w:spacing w:before="1"/>
        <w:ind w:left="660"/>
      </w:pPr>
      <w:r>
        <w:t>山西大学管理科学与工程于 2003 年获得博士学位授予权，2009</w:t>
      </w:r>
    </w:p>
    <w:p w14:paraId="0162566D">
      <w:pPr>
        <w:pStyle w:val="4"/>
        <w:spacing w:before="8"/>
        <w:ind w:left="0"/>
        <w:rPr>
          <w:sz w:val="20"/>
        </w:rPr>
      </w:pPr>
    </w:p>
    <w:p w14:paraId="629EDC98">
      <w:pPr>
        <w:pStyle w:val="4"/>
        <w:spacing w:line="417" w:lineRule="auto"/>
        <w:ind w:right="255"/>
        <w:jc w:val="both"/>
      </w:pPr>
      <w:r>
        <w:rPr>
          <w:spacing w:val="-4"/>
        </w:rPr>
        <w:t xml:space="preserve">年被批准设立博士后科研流动站。作为山西省重点学科，现有 </w:t>
      </w:r>
      <w:r>
        <w:t>1</w:t>
      </w:r>
      <w:r>
        <w:rPr>
          <w:spacing w:val="-4"/>
        </w:rPr>
        <w:t xml:space="preserve"> 个一</w:t>
      </w:r>
      <w:r>
        <w:rPr>
          <w:spacing w:val="-7"/>
        </w:rPr>
        <w:t>级学科博士点、</w:t>
      </w:r>
      <w:r>
        <w:t>1</w:t>
      </w:r>
      <w:r>
        <w:rPr>
          <w:spacing w:val="-12"/>
        </w:rPr>
        <w:t xml:space="preserve"> 个一级学科硕士点、</w:t>
      </w:r>
      <w:r>
        <w:t>1</w:t>
      </w:r>
      <w:r>
        <w:rPr>
          <w:spacing w:val="-10"/>
        </w:rPr>
        <w:t xml:space="preserve"> 个省人文社会科学重点研究基地，1</w:t>
      </w:r>
      <w:r>
        <w:rPr>
          <w:spacing w:val="-15"/>
        </w:rPr>
        <w:t xml:space="preserve"> 个“</w:t>
      </w:r>
      <w:r>
        <w:t>1331</w:t>
      </w:r>
      <w:r>
        <w:rPr>
          <w:spacing w:val="-7"/>
        </w:rPr>
        <w:t xml:space="preserve"> 工程”管理与决策创新团队</w:t>
      </w:r>
      <w:r>
        <w:t>，1</w:t>
      </w:r>
      <w:r>
        <w:rPr>
          <w:spacing w:val="-16"/>
        </w:rPr>
        <w:t xml:space="preserve"> 个“</w:t>
      </w:r>
      <w:r>
        <w:t>1331</w:t>
      </w:r>
      <w:r>
        <w:rPr>
          <w:spacing w:val="-9"/>
        </w:rPr>
        <w:t xml:space="preserve"> 工程”智慧</w:t>
      </w:r>
      <w:r>
        <w:rPr>
          <w:spacing w:val="-7"/>
        </w:rPr>
        <w:t>物流管理学科群，</w:t>
      </w:r>
      <w:r>
        <w:rPr>
          <w:spacing w:val="-10"/>
        </w:rPr>
        <w:t>1 个校企合作的省级平台山西金融研究院，</w:t>
      </w:r>
      <w:r>
        <w:rPr>
          <w:spacing w:val="-9"/>
        </w:rPr>
        <w:t>1</w:t>
      </w:r>
      <w:r>
        <w:rPr>
          <w:spacing w:val="-17"/>
        </w:rPr>
        <w:t xml:space="preserve"> 个国家</w:t>
      </w:r>
      <w:r>
        <w:rPr>
          <w:spacing w:val="-4"/>
        </w:rPr>
        <w:t>级一流本科专业信息管理与信息系统，具备较高的支撑平台和较强的科研实力。</w:t>
      </w:r>
    </w:p>
    <w:p w14:paraId="2D4E64ED">
      <w:pPr>
        <w:pStyle w:val="3"/>
        <w:spacing w:line="357" w:lineRule="exact"/>
      </w:pPr>
      <w:r>
        <w:t>（</w:t>
      </w:r>
      <w:r>
        <w:rPr>
          <w:rFonts w:hint="eastAsia"/>
          <w:lang w:val="en-US" w:eastAsia="zh-CN"/>
        </w:rPr>
        <w:t>一</w:t>
      </w:r>
      <w:r>
        <w:t>）培养目标与培养方向简介</w:t>
      </w:r>
    </w:p>
    <w:p w14:paraId="0A21922C">
      <w:pPr>
        <w:pStyle w:val="4"/>
        <w:spacing w:before="9"/>
        <w:ind w:left="0"/>
        <w:rPr>
          <w:b/>
          <w:sz w:val="20"/>
        </w:rPr>
      </w:pPr>
    </w:p>
    <w:p w14:paraId="5B3C152A">
      <w:pPr>
        <w:pStyle w:val="4"/>
        <w:spacing w:line="417" w:lineRule="auto"/>
        <w:ind w:right="255" w:firstLine="561"/>
        <w:jc w:val="both"/>
      </w:pPr>
      <w:r>
        <w:rPr>
          <w:b/>
        </w:rPr>
        <w:t>培养目标：</w:t>
      </w:r>
      <w:r>
        <w:t>掌握本学科坚实宽广的基础理论和系统深入的专门知识，具有家国情怀、高度社会责任感和国际学术视野，具有独立从事管理科学与工程学科科学研究工作的能力，成为德智体美劳全面发展的高层次专门人才和社会主义事业的建设者与接班人。</w:t>
      </w:r>
    </w:p>
    <w:p w14:paraId="3AB04722">
      <w:pPr>
        <w:pStyle w:val="4"/>
        <w:spacing w:line="417" w:lineRule="auto"/>
        <w:ind w:right="254" w:firstLine="559"/>
        <w:jc w:val="both"/>
      </w:pPr>
      <w:r>
        <w:rPr>
          <w:spacing w:val="-3"/>
        </w:rPr>
        <w:t>硕士要达到：(</w:t>
      </w:r>
      <w:r>
        <w:rPr>
          <w:spacing w:val="-6"/>
        </w:rPr>
        <w:t>1</w:t>
      </w:r>
      <w:r>
        <w:rPr>
          <w:spacing w:val="-4"/>
        </w:rPr>
        <w:t>)系统掌握和透彻理解管理科学的思维方式、方法</w:t>
      </w:r>
      <w:r>
        <w:rPr>
          <w:spacing w:val="-1"/>
        </w:rPr>
        <w:t>技术，能够采用恰当的方法解决管理实际问题</w:t>
      </w:r>
      <w:r>
        <w:t>;(2)全面深入地掌握本领域的研究成果，了解相关学科的发展动态;(3)掌握较为规范的研究方法，能够独立承担一定的科研任务;(4)掌握一门外国语，能熟练地</w:t>
      </w:r>
      <w:r>
        <w:rPr>
          <w:spacing w:val="-3"/>
        </w:rPr>
        <w:t>阅读本学科的外文资料。</w:t>
      </w:r>
    </w:p>
    <w:p w14:paraId="392EC3EE">
      <w:pPr>
        <w:pStyle w:val="4"/>
        <w:spacing w:line="357" w:lineRule="exact"/>
        <w:ind w:left="660"/>
      </w:pPr>
      <w:r>
        <w:t>博士还要达到:(1)能够判断研究问题的价值，进行理论和知识创</w:t>
      </w:r>
    </w:p>
    <w:p w14:paraId="500A55EF">
      <w:pPr>
        <w:spacing w:after="0" w:line="357" w:lineRule="exact"/>
        <w:sectPr>
          <w:footerReference r:id="rId5" w:type="default"/>
          <w:type w:val="continuous"/>
          <w:pgSz w:w="11910" w:h="16840"/>
          <w:pgMar w:top="1480" w:right="1440" w:bottom="1380" w:left="1600" w:header="720" w:footer="1199" w:gutter="0"/>
          <w:pgNumType w:start="1"/>
          <w:cols w:space="720" w:num="1"/>
        </w:sectPr>
      </w:pPr>
    </w:p>
    <w:p w14:paraId="2B975AE4">
      <w:pPr>
        <w:pStyle w:val="4"/>
        <w:spacing w:before="33" w:line="417" w:lineRule="auto"/>
        <w:ind w:right="256"/>
        <w:jc w:val="both"/>
      </w:pPr>
      <w:r>
        <w:rPr>
          <w:spacing w:val="-4"/>
        </w:rPr>
        <w:t>新；(</w:t>
      </w:r>
      <w:r>
        <w:rPr>
          <w:spacing w:val="-6"/>
        </w:rPr>
        <w:t>2)</w:t>
      </w:r>
      <w:r>
        <w:rPr>
          <w:spacing w:val="-4"/>
        </w:rPr>
        <w:t>掌握科学的研究方法和研究规范，不断开拓新的领域并做出创</w:t>
      </w:r>
      <w:r>
        <w:rPr>
          <w:spacing w:val="-5"/>
        </w:rPr>
        <w:t>造性贡献；</w:t>
      </w:r>
      <w:r>
        <w:rPr>
          <w:spacing w:val="-7"/>
        </w:rPr>
        <w:t>(3)</w:t>
      </w:r>
      <w:r>
        <w:rPr>
          <w:spacing w:val="-4"/>
        </w:rPr>
        <w:t>对社会经济中的管理实践问题有敏锐的洞察力，并能提炼成管理科学问题，进行理论升华与创新。</w:t>
      </w:r>
    </w:p>
    <w:p w14:paraId="71C93A99">
      <w:pPr>
        <w:pStyle w:val="4"/>
        <w:spacing w:before="6"/>
        <w:ind w:left="0"/>
        <w:rPr>
          <w:sz w:val="38"/>
        </w:rPr>
      </w:pPr>
    </w:p>
    <w:p w14:paraId="1C4FCFE7">
      <w:pPr>
        <w:pStyle w:val="4"/>
        <w:spacing w:line="364" w:lineRule="auto"/>
        <w:ind w:right="252" w:firstLine="561"/>
        <w:jc w:val="both"/>
      </w:pPr>
      <w:r>
        <w:rPr>
          <w:b/>
        </w:rPr>
        <w:t>培养方向：</w:t>
      </w:r>
      <w:r>
        <w:t>本学科点在山西省重点学科“管理科学与工程”一级学科博士点的引领下，学科形成了四个稳定研究方向。其中，</w:t>
      </w:r>
      <w:r>
        <w:rPr>
          <w:b/>
        </w:rPr>
        <w:t>“组织生态与创新管理”</w:t>
      </w:r>
      <w:r>
        <w:t>为特色方向，聚焦组织生态、合作管理和社会网络等理论，运用博弈论、仿真、复杂网络等方法，研究企业内部稳定性与外部适应性问题。</w:t>
      </w:r>
      <w:r>
        <w:rPr>
          <w:b/>
        </w:rPr>
        <w:t>“金融工程与风险管理”</w:t>
      </w:r>
      <w:r>
        <w:t>为优势方向，聚焦资产定价和风险管理理论，探索资产定价规律和金融风险防范对策。</w:t>
      </w:r>
      <w:r>
        <w:rPr>
          <w:b/>
        </w:rPr>
        <w:t>“物流工程与运营管理”</w:t>
      </w:r>
      <w:r>
        <w:t>运用运筹和优化方法，既解决物流系统运作的设计和控制问题，提出改善物流系统的对策。</w:t>
      </w:r>
      <w:r>
        <w:rPr>
          <w:b/>
        </w:rPr>
        <w:t>“预测决策与评价”</w:t>
      </w:r>
      <w:r>
        <w:t>运用系统科学思维，解决现实复杂系统的预测决策、系统优化等问题。</w:t>
      </w:r>
    </w:p>
    <w:p w14:paraId="7EDF2ED3">
      <w:pPr>
        <w:spacing w:before="33"/>
        <w:ind w:left="663" w:right="0" w:firstLine="0"/>
        <w:jc w:val="left"/>
        <w:rPr>
          <w:sz w:val="28"/>
        </w:rPr>
      </w:pPr>
      <w:r>
        <w:rPr>
          <w:b/>
          <w:sz w:val="28"/>
        </w:rPr>
        <w:t>（</w:t>
      </w:r>
      <w:r>
        <w:rPr>
          <w:rFonts w:hint="eastAsia"/>
          <w:b/>
          <w:sz w:val="28"/>
          <w:lang w:val="en-US" w:eastAsia="zh-CN"/>
        </w:rPr>
        <w:t>二</w:t>
      </w:r>
      <w:r>
        <w:rPr>
          <w:b/>
          <w:sz w:val="28"/>
        </w:rPr>
        <w:t>）研究生导师状况</w:t>
      </w:r>
    </w:p>
    <w:p w14:paraId="4CE1C010">
      <w:pPr>
        <w:pStyle w:val="4"/>
        <w:spacing w:before="8"/>
        <w:ind w:left="0"/>
        <w:rPr>
          <w:sz w:val="20"/>
        </w:rPr>
      </w:pPr>
    </w:p>
    <w:p w14:paraId="43C6CBE6">
      <w:pPr>
        <w:pStyle w:val="4"/>
        <w:ind w:left="660"/>
      </w:pPr>
      <w:r>
        <w:rPr>
          <w:spacing w:val="-8"/>
        </w:rPr>
        <w:t xml:space="preserve">本学位点专任教师现有 </w:t>
      </w:r>
      <w:r>
        <w:t>30</w:t>
      </w:r>
      <w:r>
        <w:rPr>
          <w:spacing w:val="-15"/>
        </w:rPr>
        <w:t xml:space="preserve"> 人，其中教授 </w:t>
      </w:r>
      <w:r>
        <w:t>8</w:t>
      </w:r>
      <w:r>
        <w:rPr>
          <w:spacing w:val="-16"/>
        </w:rPr>
        <w:t xml:space="preserve"> 人，副教授 </w:t>
      </w:r>
      <w:r>
        <w:t>20</w:t>
      </w:r>
      <w:r>
        <w:rPr>
          <w:spacing w:val="-14"/>
        </w:rPr>
        <w:t xml:space="preserve"> 人，中</w:t>
      </w:r>
    </w:p>
    <w:p w14:paraId="0E129476">
      <w:pPr>
        <w:pStyle w:val="4"/>
        <w:spacing w:before="9"/>
        <w:ind w:left="0"/>
        <w:rPr>
          <w:sz w:val="20"/>
        </w:rPr>
      </w:pPr>
    </w:p>
    <w:p w14:paraId="64D9F32D">
      <w:pPr>
        <w:pStyle w:val="4"/>
        <w:spacing w:line="417" w:lineRule="auto"/>
        <w:ind w:right="255"/>
      </w:pPr>
      <w:r>
        <w:rPr>
          <w:spacing w:val="-18"/>
        </w:rPr>
        <w:t xml:space="preserve">级职称 </w:t>
      </w:r>
      <w:r>
        <w:t>2</w:t>
      </w:r>
      <w:r>
        <w:rPr>
          <w:spacing w:val="-22"/>
        </w:rPr>
        <w:t xml:space="preserve"> 人。专任教师中 </w:t>
      </w:r>
      <w:r>
        <w:t>45</w:t>
      </w:r>
      <w:r>
        <w:rPr>
          <w:spacing w:val="-18"/>
        </w:rPr>
        <w:t xml:space="preserve"> 岁以下青年教师 </w:t>
      </w:r>
      <w:r>
        <w:t>18</w:t>
      </w:r>
      <w:r>
        <w:rPr>
          <w:spacing w:val="-31"/>
        </w:rPr>
        <w:t xml:space="preserve"> 人，占比 </w:t>
      </w:r>
      <w:r>
        <w:rPr>
          <w:spacing w:val="-10"/>
        </w:rPr>
        <w:t>60%</w:t>
      </w:r>
      <w:r>
        <w:rPr>
          <w:spacing w:val="-3"/>
        </w:rPr>
        <w:t>；博士学</w:t>
      </w:r>
      <w:r>
        <w:rPr>
          <w:spacing w:val="-20"/>
        </w:rPr>
        <w:t xml:space="preserve">位教师 </w:t>
      </w:r>
      <w:r>
        <w:t>29</w:t>
      </w:r>
      <w:r>
        <w:rPr>
          <w:spacing w:val="-25"/>
        </w:rPr>
        <w:t xml:space="preserve"> 人，占比 </w:t>
      </w:r>
      <w:r>
        <w:t>97%。</w:t>
      </w:r>
    </w:p>
    <w:p w14:paraId="07FF1F20">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（三）研究生培养条件</w:t>
      </w:r>
    </w:p>
    <w:p w14:paraId="56E0073E">
      <w:pPr>
        <w:spacing w:line="360" w:lineRule="auto"/>
        <w:ind w:firstLine="552" w:firstLineChars="200"/>
        <w:rPr>
          <w:rFonts w:ascii="仿宋" w:hAnsi="仿宋" w:eastAsia="仿宋"/>
          <w:color w:val="000000"/>
          <w:spacing w:val="-2"/>
          <w:sz w:val="28"/>
          <w:szCs w:val="28"/>
        </w:rPr>
      </w:pPr>
      <w:r>
        <w:rPr>
          <w:rFonts w:ascii="仿宋" w:hAnsi="仿宋" w:eastAsia="仿宋"/>
          <w:color w:val="000000"/>
          <w:spacing w:val="-2"/>
          <w:sz w:val="28"/>
          <w:szCs w:val="28"/>
        </w:rPr>
        <w:t>本</w:t>
      </w:r>
      <w:r>
        <w:rPr>
          <w:rFonts w:hint="eastAsia" w:ascii="仿宋" w:hAnsi="仿宋" w:eastAsia="仿宋"/>
          <w:color w:val="000000"/>
          <w:spacing w:val="-2"/>
          <w:sz w:val="28"/>
          <w:szCs w:val="28"/>
        </w:rPr>
        <w:t>学位点</w:t>
      </w:r>
      <w:r>
        <w:rPr>
          <w:rFonts w:ascii="仿宋" w:hAnsi="仿宋" w:eastAsia="仿宋"/>
          <w:color w:val="000000"/>
          <w:spacing w:val="-2"/>
          <w:sz w:val="28"/>
          <w:szCs w:val="28"/>
        </w:rPr>
        <w:t>依托</w:t>
      </w:r>
      <w:bookmarkStart w:id="0" w:name="OLE_LINK27"/>
      <w:r>
        <w:rPr>
          <w:rFonts w:hint="eastAsia" w:ascii="仿宋" w:hAnsi="仿宋" w:eastAsia="仿宋"/>
          <w:color w:val="000000"/>
          <w:spacing w:val="-2"/>
          <w:sz w:val="28"/>
          <w:szCs w:val="28"/>
        </w:rPr>
        <w:t>“</w:t>
      </w:r>
      <w:bookmarkEnd w:id="0"/>
      <w:r>
        <w:rPr>
          <w:rFonts w:ascii="仿宋" w:hAnsi="仿宋" w:eastAsia="仿宋"/>
          <w:color w:val="000000"/>
          <w:spacing w:val="-2"/>
          <w:sz w:val="28"/>
          <w:szCs w:val="28"/>
        </w:rPr>
        <w:t>山西大学管理与决策研究中心</w:t>
      </w:r>
      <w:r>
        <w:rPr>
          <w:rFonts w:hint="eastAsia" w:ascii="仿宋" w:hAnsi="仿宋" w:eastAsia="仿宋"/>
          <w:color w:val="000000"/>
          <w:spacing w:val="-2"/>
          <w:sz w:val="28"/>
          <w:szCs w:val="28"/>
        </w:rPr>
        <w:t>”</w:t>
      </w:r>
      <w:r>
        <w:rPr>
          <w:rFonts w:ascii="仿宋" w:hAnsi="仿宋" w:eastAsia="仿宋"/>
          <w:color w:val="000000"/>
          <w:spacing w:val="-2"/>
          <w:sz w:val="28"/>
          <w:szCs w:val="28"/>
        </w:rPr>
        <w:t>和</w:t>
      </w:r>
      <w:r>
        <w:rPr>
          <w:rFonts w:hint="eastAsia" w:ascii="仿宋" w:hAnsi="仿宋" w:eastAsia="仿宋"/>
          <w:color w:val="000000"/>
          <w:spacing w:val="-2"/>
          <w:sz w:val="28"/>
          <w:szCs w:val="28"/>
        </w:rPr>
        <w:t>“</w:t>
      </w:r>
      <w:r>
        <w:rPr>
          <w:rFonts w:ascii="仿宋" w:hAnsi="仿宋" w:eastAsia="仿宋"/>
          <w:color w:val="000000"/>
          <w:spacing w:val="-2"/>
          <w:sz w:val="28"/>
          <w:szCs w:val="28"/>
        </w:rPr>
        <w:t>智慧物流管理学科群</w:t>
      </w:r>
      <w:r>
        <w:rPr>
          <w:rFonts w:hint="eastAsia" w:ascii="仿宋" w:hAnsi="仿宋" w:eastAsia="仿宋"/>
          <w:color w:val="000000"/>
          <w:spacing w:val="-2"/>
          <w:sz w:val="28"/>
          <w:szCs w:val="28"/>
        </w:rPr>
        <w:t>”</w:t>
      </w:r>
      <w:r>
        <w:rPr>
          <w:rFonts w:ascii="仿宋" w:hAnsi="仿宋" w:eastAsia="仿宋"/>
          <w:color w:val="000000"/>
          <w:spacing w:val="-2"/>
          <w:sz w:val="28"/>
          <w:szCs w:val="28"/>
        </w:rPr>
        <w:t>两大平台，以新获批的"山西金融研究院"为战略支点，构建"基础理论</w:t>
      </w:r>
      <w:r>
        <w:rPr>
          <w:rFonts w:hint="eastAsia" w:ascii="仿宋" w:hAnsi="仿宋" w:eastAsia="仿宋"/>
          <w:color w:val="000000"/>
          <w:spacing w:val="-2"/>
          <w:sz w:val="28"/>
          <w:szCs w:val="28"/>
        </w:rPr>
        <w:t>——</w:t>
      </w:r>
      <w:r>
        <w:rPr>
          <w:rFonts w:ascii="仿宋" w:hAnsi="仿宋" w:eastAsia="仿宋"/>
          <w:color w:val="000000"/>
          <w:spacing w:val="-2"/>
          <w:sz w:val="28"/>
          <w:szCs w:val="28"/>
        </w:rPr>
        <w:t>技术创新</w:t>
      </w:r>
      <w:r>
        <w:rPr>
          <w:rFonts w:hint="eastAsia" w:ascii="仿宋" w:hAnsi="仿宋" w:eastAsia="仿宋"/>
          <w:color w:val="000000"/>
          <w:spacing w:val="-2"/>
          <w:sz w:val="28"/>
          <w:szCs w:val="28"/>
        </w:rPr>
        <w:t>——</w:t>
      </w:r>
      <w:r>
        <w:rPr>
          <w:rFonts w:ascii="仿宋" w:hAnsi="仿宋" w:eastAsia="仿宋"/>
          <w:color w:val="000000"/>
          <w:spacing w:val="-2"/>
          <w:sz w:val="28"/>
          <w:szCs w:val="28"/>
        </w:rPr>
        <w:t>应用实践"三位一体的学科发展体系。通过整合管理科学与工程、物流工程与管理、工业工程与管理等多学科资源，逐步开始形成</w:t>
      </w:r>
      <w:r>
        <w:rPr>
          <w:rFonts w:hint="eastAsia" w:ascii="仿宋" w:hAnsi="仿宋" w:eastAsia="仿宋"/>
          <w:color w:val="000000"/>
          <w:spacing w:val="-2"/>
          <w:sz w:val="28"/>
          <w:szCs w:val="28"/>
        </w:rPr>
        <w:t>“</w:t>
      </w:r>
      <w:r>
        <w:rPr>
          <w:rFonts w:ascii="仿宋" w:hAnsi="仿宋" w:eastAsia="仿宋"/>
          <w:color w:val="000000"/>
          <w:spacing w:val="-2"/>
          <w:sz w:val="28"/>
          <w:szCs w:val="28"/>
        </w:rPr>
        <w:t>平台支撑</w:t>
      </w:r>
      <w:r>
        <w:rPr>
          <w:rFonts w:hint="eastAsia" w:ascii="仿宋" w:hAnsi="仿宋" w:eastAsia="仿宋"/>
          <w:color w:val="000000"/>
          <w:spacing w:val="-2"/>
          <w:sz w:val="28"/>
          <w:szCs w:val="28"/>
        </w:rPr>
        <w:t>——</w:t>
      </w:r>
      <w:r>
        <w:rPr>
          <w:rFonts w:ascii="仿宋" w:hAnsi="仿宋" w:eastAsia="仿宋"/>
          <w:color w:val="000000"/>
          <w:spacing w:val="-2"/>
          <w:sz w:val="28"/>
          <w:szCs w:val="28"/>
        </w:rPr>
        <w:t>项目驱动</w:t>
      </w:r>
      <w:r>
        <w:rPr>
          <w:rFonts w:hint="eastAsia" w:ascii="仿宋" w:hAnsi="仿宋" w:eastAsia="仿宋"/>
          <w:color w:val="000000"/>
          <w:spacing w:val="-2"/>
          <w:sz w:val="28"/>
          <w:szCs w:val="28"/>
        </w:rPr>
        <w:t>——</w:t>
      </w:r>
      <w:r>
        <w:rPr>
          <w:rFonts w:ascii="仿宋" w:hAnsi="仿宋" w:eastAsia="仿宋"/>
          <w:color w:val="000000"/>
          <w:spacing w:val="-2"/>
          <w:sz w:val="28"/>
          <w:szCs w:val="28"/>
        </w:rPr>
        <w:t>成果转化</w:t>
      </w:r>
      <w:r>
        <w:rPr>
          <w:rFonts w:hint="eastAsia" w:ascii="仿宋" w:hAnsi="仿宋" w:eastAsia="仿宋"/>
          <w:color w:val="000000"/>
          <w:spacing w:val="-2"/>
          <w:sz w:val="28"/>
          <w:szCs w:val="28"/>
        </w:rPr>
        <w:t>”</w:t>
      </w:r>
      <w:r>
        <w:rPr>
          <w:rFonts w:ascii="仿宋" w:hAnsi="仿宋" w:eastAsia="仿宋"/>
          <w:color w:val="000000"/>
          <w:spacing w:val="-2"/>
          <w:sz w:val="28"/>
          <w:szCs w:val="28"/>
        </w:rPr>
        <w:t>的协同创新机制，同时构建“本硕博”一体化培养体系，强化学生创新实践能力与国际化视野培养，着力打造服务区域经济高质量发展的管理科学创新人才培养高地。</w:t>
      </w:r>
      <w:r>
        <w:rPr>
          <w:rFonts w:hint="eastAsia" w:ascii="仿宋" w:hAnsi="仿宋" w:eastAsia="仿宋"/>
          <w:color w:val="000000"/>
          <w:spacing w:val="-2"/>
          <w:sz w:val="28"/>
          <w:szCs w:val="28"/>
        </w:rPr>
        <w:t>具体支撑条件如表1所示。</w:t>
      </w:r>
    </w:p>
    <w:p w14:paraId="542F5762">
      <w:pPr>
        <w:spacing w:line="360" w:lineRule="auto"/>
        <w:jc w:val="center"/>
        <w:rPr>
          <w:rFonts w:ascii="仿宋" w:hAnsi="仿宋" w:eastAsia="仿宋" w:cs="仿宋"/>
          <w:b/>
          <w:bCs/>
          <w:sz w:val="24"/>
        </w:rPr>
      </w:pPr>
      <w:r>
        <w:rPr>
          <w:rFonts w:hint="eastAsia" w:ascii="仿宋" w:hAnsi="仿宋" w:eastAsia="仿宋" w:cs="仿宋"/>
          <w:b/>
          <w:bCs/>
          <w:sz w:val="24"/>
        </w:rPr>
        <w:t>表1  管理科学与工程学位点研究生培养条件支撑</w:t>
      </w:r>
    </w:p>
    <w:tbl>
      <w:tblPr>
        <w:tblStyle w:val="7"/>
        <w:tblW w:w="5000" w:type="pct"/>
        <w:tblInd w:w="0" w:type="dxa"/>
        <w:tblLayout w:type="autofit"/>
        <w:tblCellMar>
          <w:top w:w="15" w:type="dxa"/>
          <w:left w:w="15" w:type="dxa"/>
          <w:bottom w:w="15" w:type="dxa"/>
          <w:right w:w="15" w:type="dxa"/>
        </w:tblCellMar>
      </w:tblPr>
      <w:tblGrid>
        <w:gridCol w:w="1646"/>
        <w:gridCol w:w="7254"/>
      </w:tblGrid>
      <w:tr w14:paraId="14FA8727">
        <w:tblPrEx>
          <w:tblCellMar>
            <w:top w:w="15" w:type="dxa"/>
            <w:left w:w="15" w:type="dxa"/>
            <w:bottom w:w="15" w:type="dxa"/>
            <w:right w:w="15" w:type="dxa"/>
          </w:tblCellMar>
        </w:tblPrEx>
        <w:trPr>
          <w:trHeight w:val="450" w:hRule="atLeast"/>
        </w:trPr>
        <w:tc>
          <w:tcPr>
            <w:tcW w:w="925" w:type="pct"/>
            <w:tcBorders>
              <w:top w:val="single" w:color="000000" w:sz="4" w:space="0"/>
              <w:left w:val="single" w:color="000000" w:sz="4" w:space="0"/>
              <w:bottom w:val="single" w:color="000000" w:sz="4" w:space="0"/>
              <w:right w:val="single" w:color="000000" w:sz="4" w:space="0"/>
            </w:tcBorders>
            <w:vAlign w:val="center"/>
          </w:tcPr>
          <w:p w14:paraId="3585FC3D">
            <w:pPr>
              <w:widowControl/>
              <w:jc w:val="center"/>
              <w:textAlignment w:val="center"/>
              <w:rPr>
                <w:b/>
                <w:color w:val="000000"/>
                <w:szCs w:val="21"/>
              </w:rPr>
            </w:pPr>
          </w:p>
        </w:tc>
        <w:tc>
          <w:tcPr>
            <w:tcW w:w="4075" w:type="pct"/>
            <w:tcBorders>
              <w:top w:val="single" w:color="000000" w:sz="4" w:space="0"/>
              <w:left w:val="single" w:color="000000" w:sz="4" w:space="0"/>
              <w:bottom w:val="single" w:color="000000" w:sz="4" w:space="0"/>
              <w:right w:val="single" w:color="000000" w:sz="4" w:space="0"/>
            </w:tcBorders>
            <w:vAlign w:val="center"/>
          </w:tcPr>
          <w:p w14:paraId="3D2F2FF9">
            <w:pPr>
              <w:widowControl/>
              <w:jc w:val="center"/>
              <w:textAlignment w:val="center"/>
              <w:rPr>
                <w:szCs w:val="21"/>
              </w:rPr>
            </w:pPr>
            <w:r>
              <w:rPr>
                <w:szCs w:val="21"/>
              </w:rPr>
              <w:t>名称</w:t>
            </w:r>
          </w:p>
        </w:tc>
      </w:tr>
      <w:tr w14:paraId="499A4B4D">
        <w:tblPrEx>
          <w:tblCellMar>
            <w:top w:w="15" w:type="dxa"/>
            <w:left w:w="15" w:type="dxa"/>
            <w:bottom w:w="15" w:type="dxa"/>
            <w:right w:w="15" w:type="dxa"/>
          </w:tblCellMar>
        </w:tblPrEx>
        <w:trPr>
          <w:trHeight w:val="1818" w:hRule="atLeast"/>
        </w:trPr>
        <w:tc>
          <w:tcPr>
            <w:tcW w:w="925" w:type="pct"/>
            <w:tcBorders>
              <w:top w:val="single" w:color="000000" w:sz="4" w:space="0"/>
              <w:left w:val="single" w:color="000000" w:sz="4" w:space="0"/>
              <w:right w:val="single" w:color="000000" w:sz="4" w:space="0"/>
            </w:tcBorders>
            <w:vAlign w:val="center"/>
          </w:tcPr>
          <w:p w14:paraId="69F8729A">
            <w:pPr>
              <w:widowControl/>
              <w:spacing w:line="400" w:lineRule="atLeast"/>
              <w:jc w:val="center"/>
              <w:textAlignment w:val="center"/>
              <w:rPr>
                <w:color w:val="000000"/>
                <w:szCs w:val="21"/>
              </w:rPr>
            </w:pPr>
            <w:r>
              <w:rPr>
                <w:color w:val="000000"/>
                <w:szCs w:val="21"/>
              </w:rPr>
              <w:t>平台</w:t>
            </w:r>
          </w:p>
        </w:tc>
        <w:tc>
          <w:tcPr>
            <w:tcW w:w="4075" w:type="pct"/>
            <w:tcBorders>
              <w:top w:val="single" w:color="000000" w:sz="4" w:space="0"/>
              <w:left w:val="single" w:color="000000" w:sz="4" w:space="0"/>
              <w:right w:val="single" w:color="000000" w:sz="4" w:space="0"/>
            </w:tcBorders>
            <w:vAlign w:val="center"/>
          </w:tcPr>
          <w:p w14:paraId="73C2208B">
            <w:pPr>
              <w:widowControl/>
              <w:spacing w:line="400" w:lineRule="atLeast"/>
              <w:jc w:val="left"/>
              <w:textAlignment w:val="center"/>
              <w:rPr>
                <w:szCs w:val="21"/>
              </w:rPr>
            </w:pPr>
            <w:r>
              <w:rPr>
                <w:color w:val="000000"/>
                <w:szCs w:val="21"/>
              </w:rPr>
              <w:t>山西省高校人文社科重点研究基地——</w:t>
            </w:r>
            <w:r>
              <w:rPr>
                <w:szCs w:val="21"/>
              </w:rPr>
              <w:t>山西大学管理与决策研究中心</w:t>
            </w:r>
          </w:p>
          <w:p w14:paraId="69C8A6FD">
            <w:pPr>
              <w:widowControl/>
              <w:spacing w:line="400" w:lineRule="atLeast"/>
              <w:jc w:val="left"/>
              <w:textAlignment w:val="center"/>
              <w:rPr>
                <w:color w:val="000000"/>
                <w:szCs w:val="21"/>
              </w:rPr>
            </w:pPr>
            <w:r>
              <w:rPr>
                <w:color w:val="000000"/>
                <w:szCs w:val="21"/>
              </w:rPr>
              <w:t>中国智库索引CTTI首批来源智库——山西大学管理与决策研究所</w:t>
            </w:r>
          </w:p>
          <w:p w14:paraId="75AC722C">
            <w:pPr>
              <w:widowControl/>
              <w:spacing w:line="400" w:lineRule="atLeast"/>
              <w:jc w:val="left"/>
              <w:textAlignment w:val="center"/>
              <w:rPr>
                <w:szCs w:val="21"/>
              </w:rPr>
            </w:pPr>
            <w:bookmarkStart w:id="1" w:name="OLE_LINK24"/>
            <w:bookmarkStart w:id="2" w:name="OLE_LINK23"/>
            <w:r>
              <w:rPr>
                <w:color w:val="000000"/>
                <w:szCs w:val="21"/>
              </w:rPr>
              <w:t>山西省“1331”工程</w:t>
            </w:r>
            <w:bookmarkEnd w:id="1"/>
            <w:bookmarkEnd w:id="2"/>
            <w:r>
              <w:rPr>
                <w:color w:val="000000"/>
                <w:szCs w:val="21"/>
              </w:rPr>
              <w:t>重点创新团队——</w:t>
            </w:r>
            <w:r>
              <w:rPr>
                <w:szCs w:val="21"/>
              </w:rPr>
              <w:t>山西大学管理与决策创新团队</w:t>
            </w:r>
          </w:p>
          <w:p w14:paraId="28755CF6">
            <w:pPr>
              <w:widowControl/>
              <w:spacing w:line="400" w:lineRule="atLeast"/>
              <w:jc w:val="left"/>
              <w:textAlignment w:val="center"/>
              <w:rPr>
                <w:szCs w:val="21"/>
              </w:rPr>
            </w:pPr>
            <w:r>
              <w:rPr>
                <w:rFonts w:hint="eastAsia"/>
                <w:szCs w:val="21"/>
              </w:rPr>
              <w:t>“1331工程”智慧物流管理服务产业创新学科群</w:t>
            </w:r>
          </w:p>
          <w:p w14:paraId="35CBC321">
            <w:pPr>
              <w:widowControl/>
              <w:spacing w:line="400" w:lineRule="atLeast"/>
              <w:jc w:val="left"/>
              <w:textAlignment w:val="center"/>
              <w:rPr>
                <w:color w:val="000000"/>
                <w:szCs w:val="21"/>
              </w:rPr>
            </w:pPr>
            <w:r>
              <w:rPr>
                <w:color w:val="000000"/>
                <w:szCs w:val="21"/>
              </w:rPr>
              <w:t>山西大学管理科学与工程博士后流动站</w:t>
            </w:r>
          </w:p>
          <w:p w14:paraId="610B2A29">
            <w:pPr>
              <w:widowControl/>
              <w:spacing w:line="400" w:lineRule="atLeast"/>
              <w:jc w:val="left"/>
              <w:textAlignment w:val="center"/>
              <w:rPr>
                <w:color w:val="000000"/>
                <w:szCs w:val="21"/>
              </w:rPr>
            </w:pPr>
            <w:r>
              <w:rPr>
                <w:color w:val="000000"/>
                <w:szCs w:val="21"/>
              </w:rPr>
              <w:t>山西大学资源型经济转型发展研究平台</w:t>
            </w:r>
          </w:p>
          <w:p w14:paraId="6D9FB160">
            <w:pPr>
              <w:widowControl/>
              <w:spacing w:line="400" w:lineRule="atLeast"/>
              <w:jc w:val="left"/>
              <w:textAlignment w:val="center"/>
              <w:rPr>
                <w:color w:val="000000"/>
                <w:szCs w:val="21"/>
              </w:rPr>
            </w:pPr>
            <w:r>
              <w:rPr>
                <w:rFonts w:hint="eastAsia" w:ascii="仿宋" w:hAnsi="仿宋" w:eastAsia="仿宋"/>
              </w:rPr>
              <w:t>“</w:t>
            </w:r>
            <w:r>
              <w:rPr>
                <w:rFonts w:hint="eastAsia"/>
                <w:color w:val="000000"/>
                <w:szCs w:val="21"/>
              </w:rPr>
              <w:t>知行”4.0—“知行”“三全育人”综合改革试点院建设</w:t>
            </w:r>
          </w:p>
        </w:tc>
      </w:tr>
      <w:tr w14:paraId="5CE14519">
        <w:tblPrEx>
          <w:tblCellMar>
            <w:top w:w="15" w:type="dxa"/>
            <w:left w:w="15" w:type="dxa"/>
            <w:bottom w:w="15" w:type="dxa"/>
            <w:right w:w="15" w:type="dxa"/>
          </w:tblCellMar>
        </w:tblPrEx>
        <w:trPr>
          <w:trHeight w:val="519" w:hRule="atLeast"/>
        </w:trPr>
        <w:tc>
          <w:tcPr>
            <w:tcW w:w="925" w:type="pct"/>
            <w:tcBorders>
              <w:top w:val="single" w:color="000000" w:sz="4" w:space="0"/>
              <w:left w:val="single" w:color="000000" w:sz="4" w:space="0"/>
              <w:right w:val="single" w:color="000000" w:sz="4" w:space="0"/>
            </w:tcBorders>
            <w:vAlign w:val="center"/>
          </w:tcPr>
          <w:p w14:paraId="3B99D95F">
            <w:pPr>
              <w:widowControl/>
              <w:spacing w:line="400" w:lineRule="atLeast"/>
              <w:jc w:val="center"/>
              <w:textAlignment w:val="center"/>
              <w:rPr>
                <w:color w:val="000000"/>
                <w:szCs w:val="21"/>
              </w:rPr>
            </w:pPr>
            <w:r>
              <w:rPr>
                <w:color w:val="000000"/>
                <w:szCs w:val="21"/>
              </w:rPr>
              <w:t>实验室</w:t>
            </w:r>
          </w:p>
        </w:tc>
        <w:tc>
          <w:tcPr>
            <w:tcW w:w="4075" w:type="pct"/>
            <w:tcBorders>
              <w:top w:val="single" w:color="000000" w:sz="4" w:space="0"/>
              <w:left w:val="single" w:color="000000" w:sz="4" w:space="0"/>
              <w:right w:val="single" w:color="000000" w:sz="4" w:space="0"/>
            </w:tcBorders>
            <w:vAlign w:val="center"/>
          </w:tcPr>
          <w:p w14:paraId="7C6D6286">
            <w:pPr>
              <w:widowControl/>
              <w:spacing w:line="400" w:lineRule="atLeast"/>
              <w:jc w:val="left"/>
              <w:textAlignment w:val="center"/>
              <w:rPr>
                <w:szCs w:val="21"/>
              </w:rPr>
            </w:pPr>
            <w:r>
              <w:rPr>
                <w:szCs w:val="21"/>
              </w:rPr>
              <w:t>金融工程实验室；智慧物流实验室</w:t>
            </w:r>
          </w:p>
        </w:tc>
      </w:tr>
      <w:tr w14:paraId="72903D68">
        <w:tblPrEx>
          <w:tblCellMar>
            <w:top w:w="15" w:type="dxa"/>
            <w:left w:w="15" w:type="dxa"/>
            <w:bottom w:w="15" w:type="dxa"/>
            <w:right w:w="15" w:type="dxa"/>
          </w:tblCellMar>
        </w:tblPrEx>
        <w:trPr>
          <w:trHeight w:val="486" w:hRule="atLeast"/>
        </w:trPr>
        <w:tc>
          <w:tcPr>
            <w:tcW w:w="925" w:type="pct"/>
            <w:tcBorders>
              <w:top w:val="single" w:color="000000" w:sz="4" w:space="0"/>
              <w:left w:val="single" w:color="000000" w:sz="4" w:space="0"/>
              <w:bottom w:val="single" w:color="000000" w:sz="4" w:space="0"/>
              <w:right w:val="single" w:color="000000" w:sz="4" w:space="0"/>
            </w:tcBorders>
            <w:vAlign w:val="center"/>
          </w:tcPr>
          <w:p w14:paraId="35200B0E">
            <w:pPr>
              <w:spacing w:line="400" w:lineRule="atLeast"/>
              <w:jc w:val="center"/>
              <w:rPr>
                <w:color w:val="000000"/>
                <w:szCs w:val="21"/>
              </w:rPr>
            </w:pPr>
            <w:r>
              <w:rPr>
                <w:color w:val="000000"/>
                <w:szCs w:val="21"/>
              </w:rPr>
              <w:t>数据库</w:t>
            </w:r>
          </w:p>
        </w:tc>
        <w:tc>
          <w:tcPr>
            <w:tcW w:w="4075" w:type="pct"/>
            <w:tcBorders>
              <w:top w:val="single" w:color="000000" w:sz="4" w:space="0"/>
              <w:left w:val="single" w:color="000000" w:sz="4" w:space="0"/>
              <w:bottom w:val="single" w:color="000000" w:sz="4" w:space="0"/>
              <w:right w:val="single" w:color="000000" w:sz="4" w:space="0"/>
            </w:tcBorders>
            <w:vAlign w:val="center"/>
          </w:tcPr>
          <w:p w14:paraId="7E6519C8">
            <w:pPr>
              <w:spacing w:line="400" w:lineRule="atLeast"/>
              <w:jc w:val="left"/>
              <w:rPr>
                <w:szCs w:val="21"/>
              </w:rPr>
            </w:pPr>
            <w:r>
              <w:rPr>
                <w:szCs w:val="21"/>
              </w:rPr>
              <w:t>CSMAR、Datastream、</w:t>
            </w:r>
            <w:r>
              <w:rPr>
                <w:bCs/>
                <w:szCs w:val="21"/>
              </w:rPr>
              <w:t>万得数据库以及学校购买的各类</w:t>
            </w:r>
            <w:r>
              <w:rPr>
                <w:szCs w:val="21"/>
              </w:rPr>
              <w:t>中外文期刊数据库</w:t>
            </w:r>
          </w:p>
        </w:tc>
      </w:tr>
      <w:tr w14:paraId="69DE0474">
        <w:tblPrEx>
          <w:tblCellMar>
            <w:top w:w="15" w:type="dxa"/>
            <w:left w:w="15" w:type="dxa"/>
            <w:bottom w:w="15" w:type="dxa"/>
            <w:right w:w="15" w:type="dxa"/>
          </w:tblCellMar>
        </w:tblPrEx>
        <w:trPr>
          <w:trHeight w:val="564" w:hRule="atLeast"/>
        </w:trPr>
        <w:tc>
          <w:tcPr>
            <w:tcW w:w="925" w:type="pct"/>
            <w:tcBorders>
              <w:top w:val="single" w:color="000000" w:sz="4" w:space="0"/>
              <w:left w:val="single" w:color="000000" w:sz="4" w:space="0"/>
              <w:bottom w:val="single" w:color="000000" w:sz="4" w:space="0"/>
              <w:right w:val="single" w:color="000000" w:sz="4" w:space="0"/>
            </w:tcBorders>
            <w:vAlign w:val="center"/>
          </w:tcPr>
          <w:p w14:paraId="2D703C10">
            <w:pPr>
              <w:spacing w:line="400" w:lineRule="atLeast"/>
              <w:jc w:val="center"/>
              <w:rPr>
                <w:color w:val="000000"/>
                <w:szCs w:val="21"/>
              </w:rPr>
            </w:pPr>
            <w:r>
              <w:rPr>
                <w:szCs w:val="21"/>
              </w:rPr>
              <w:t>图书资料</w:t>
            </w:r>
          </w:p>
        </w:tc>
        <w:tc>
          <w:tcPr>
            <w:tcW w:w="4075" w:type="pct"/>
            <w:tcBorders>
              <w:top w:val="single" w:color="000000" w:sz="4" w:space="0"/>
              <w:left w:val="single" w:color="000000" w:sz="4" w:space="0"/>
              <w:bottom w:val="single" w:color="000000" w:sz="4" w:space="0"/>
              <w:right w:val="single" w:color="000000" w:sz="4" w:space="0"/>
            </w:tcBorders>
            <w:vAlign w:val="center"/>
          </w:tcPr>
          <w:p w14:paraId="4E87AB51">
            <w:pPr>
              <w:spacing w:line="400" w:lineRule="atLeast"/>
              <w:jc w:val="left"/>
              <w:rPr>
                <w:szCs w:val="21"/>
              </w:rPr>
            </w:pPr>
            <w:r>
              <w:rPr>
                <w:szCs w:val="21"/>
              </w:rPr>
              <w:t>图书资料</w:t>
            </w:r>
            <w:r>
              <w:rPr>
                <w:rFonts w:hint="eastAsia"/>
                <w:szCs w:val="21"/>
              </w:rPr>
              <w:t>十几余</w:t>
            </w:r>
            <w:r>
              <w:rPr>
                <w:szCs w:val="21"/>
              </w:rPr>
              <w:t>万册，中文期刊26种，外文期刊4种</w:t>
            </w:r>
          </w:p>
        </w:tc>
      </w:tr>
    </w:tbl>
    <w:p w14:paraId="387C65C9">
      <w:pPr>
        <w:pStyle w:val="4"/>
        <w:spacing w:line="364" w:lineRule="auto"/>
        <w:ind w:right="252" w:firstLine="561"/>
        <w:jc w:val="both"/>
      </w:pPr>
    </w:p>
    <w:p w14:paraId="1921226B">
      <w:pPr>
        <w:pStyle w:val="6"/>
        <w:shd w:val="clear" w:color="auto" w:fill="FFFFFF"/>
        <w:spacing w:before="156" w:beforeLines="50" w:beforeAutospacing="0" w:after="0" w:afterAutospacing="0" w:line="360" w:lineRule="auto"/>
        <w:rPr>
          <w:rFonts w:ascii="黑体" w:hAnsi="黑体" w:eastAsia="黑体" w:cs="黑体"/>
          <w:b/>
          <w:bCs/>
          <w:kern w:val="2"/>
          <w:sz w:val="36"/>
          <w:szCs w:val="36"/>
        </w:rPr>
      </w:pPr>
      <w:r>
        <w:rPr>
          <w:rFonts w:hint="eastAsia" w:ascii="黑体" w:hAnsi="黑体" w:eastAsia="黑体" w:cs="黑体"/>
          <w:b/>
          <w:bCs/>
          <w:kern w:val="2"/>
          <w:sz w:val="36"/>
          <w:szCs w:val="36"/>
        </w:rPr>
        <w:t>二、学位授权点年度建设取得的成绩</w:t>
      </w:r>
    </w:p>
    <w:p w14:paraId="5F3470CC">
      <w:pPr>
        <w:pStyle w:val="4"/>
        <w:spacing w:before="9"/>
        <w:ind w:left="0"/>
        <w:rPr>
          <w:rFonts w:ascii="黑体"/>
          <w:b/>
          <w:sz w:val="20"/>
        </w:rPr>
      </w:pPr>
    </w:p>
    <w:p w14:paraId="5DAA975B">
      <w:pPr>
        <w:spacing w:before="0"/>
        <w:ind w:left="663" w:right="0" w:firstLine="0"/>
        <w:jc w:val="left"/>
        <w:rPr>
          <w:b/>
          <w:sz w:val="28"/>
        </w:rPr>
      </w:pPr>
      <w:r>
        <w:rPr>
          <w:b/>
          <w:sz w:val="28"/>
        </w:rPr>
        <w:t>（一）思想政治教育队伍建设情况</w:t>
      </w:r>
    </w:p>
    <w:p w14:paraId="0CADA4A8">
      <w:pPr>
        <w:pStyle w:val="4"/>
        <w:spacing w:before="9"/>
        <w:ind w:left="0"/>
        <w:rPr>
          <w:b/>
          <w:sz w:val="20"/>
        </w:rPr>
      </w:pPr>
    </w:p>
    <w:p w14:paraId="1230682A">
      <w:pPr>
        <w:pStyle w:val="4"/>
        <w:spacing w:line="417" w:lineRule="auto"/>
        <w:ind w:right="117" w:firstLine="559"/>
      </w:pPr>
      <w:r>
        <w:t>在学院“三全育人”的思政教育优良环境下，学科积极推进学科团队的党政干部和共青团干部、辅导员和班主任、课程思政承担教师等全员参与思想政治教育的良好局面。思想政治教育队伍与其他学科</w:t>
      </w:r>
      <w:r>
        <w:rPr>
          <w:spacing w:val="-6"/>
        </w:rPr>
        <w:t xml:space="preserve">教师、管理人员等协同合作，形成全员育人、全过程育人的良好氛围， </w:t>
      </w:r>
      <w:r>
        <w:rPr>
          <w:spacing w:val="-2"/>
        </w:rPr>
        <w:t xml:space="preserve">并针对管理科学与工程学科的特点，开展有针对性的思想政治教育， </w:t>
      </w:r>
      <w:r>
        <w:rPr>
          <w:spacing w:val="-10"/>
        </w:rPr>
        <w:t xml:space="preserve">如职业道德教育、创新创业教育等。学科团队有 </w:t>
      </w:r>
      <w:r>
        <w:t>1</w:t>
      </w:r>
      <w:r>
        <w:rPr>
          <w:spacing w:val="-10"/>
        </w:rPr>
        <w:t xml:space="preserve"> 人任研究生辅导员、</w:t>
      </w:r>
    </w:p>
    <w:p w14:paraId="79F76C6F">
      <w:pPr>
        <w:pStyle w:val="4"/>
        <w:spacing w:line="357" w:lineRule="exact"/>
      </w:pPr>
      <w:r>
        <w:t>3 人担任班主任，有 11 位教师参与了课程思政教改项目。</w:t>
      </w:r>
    </w:p>
    <w:p w14:paraId="7671FAC0">
      <w:pPr>
        <w:pStyle w:val="4"/>
        <w:spacing w:before="10"/>
        <w:ind w:left="0"/>
        <w:rPr>
          <w:sz w:val="20"/>
        </w:rPr>
      </w:pPr>
    </w:p>
    <w:p w14:paraId="359C1290">
      <w:pPr>
        <w:pStyle w:val="6"/>
        <w:shd w:val="clear" w:color="auto" w:fill="FFFFFF"/>
        <w:spacing w:before="0" w:beforeAutospacing="0" w:after="0" w:afterAutospacing="0" w:line="360" w:lineRule="auto"/>
        <w:ind w:firstLine="615"/>
        <w:rPr>
          <w:rStyle w:val="9"/>
          <w:rFonts w:ascii="仿宋" w:hAnsi="仿宋" w:eastAsia="仿宋"/>
          <w:color w:val="000000"/>
          <w:sz w:val="28"/>
          <w:szCs w:val="28"/>
        </w:rPr>
      </w:pPr>
      <w:r>
        <w:rPr>
          <w:rStyle w:val="9"/>
          <w:rFonts w:hint="eastAsia" w:ascii="仿宋" w:hAnsi="仿宋" w:eastAsia="仿宋"/>
          <w:color w:val="000000"/>
          <w:sz w:val="28"/>
          <w:szCs w:val="28"/>
        </w:rPr>
        <w:t>（二）师资队伍建设情况</w:t>
      </w:r>
    </w:p>
    <w:p w14:paraId="7F21EA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实施纳贤育才战略，通过储人才、优结构等方式打造人才高地，形成一支结构合理、素质优良的师资队伍。以需求为导向，立场坚定为条件，教研能力和成果为标准，持续引进国内外优秀人才；采取鼓励教师赴高水平大学访学等措施，提升教师的科研能力。</w:t>
      </w:r>
    </w:p>
    <w:p w14:paraId="7CCB4682">
      <w:pPr>
        <w:spacing w:line="360" w:lineRule="auto"/>
        <w:ind w:firstLine="560" w:firstLineChars="200"/>
        <w:rPr>
          <w:rStyle w:val="9"/>
          <w:rFonts w:hint="eastAsia" w:ascii="仿宋" w:hAnsi="仿宋" w:eastAsia="仿宋"/>
          <w:b w:val="0"/>
          <w:color w:val="000000"/>
          <w:sz w:val="28"/>
          <w:szCs w:val="28"/>
        </w:rPr>
      </w:pPr>
      <w:r>
        <w:rPr>
          <w:rStyle w:val="9"/>
          <w:rFonts w:hint="eastAsia" w:ascii="仿宋" w:hAnsi="仿宋" w:eastAsia="仿宋"/>
          <w:b w:val="0"/>
          <w:color w:val="000000"/>
          <w:sz w:val="28"/>
          <w:szCs w:val="28"/>
        </w:rPr>
        <w:t>导师的选聘、考核等严格按照学校相关规定执行。学位点每年对导师招生资格进行审核，如不满足条件，当年不得招生。为加强研究生导师队伍建设，本专业导师每年参加多场研究生导师培训，报告内容包括教育政策、师德师风、师生心理、职业发展、课程思政、数字化能力、教学改革创新、教研成果、导师指导等方面。</w:t>
      </w:r>
    </w:p>
    <w:p w14:paraId="1AEC57F6">
      <w:pPr>
        <w:spacing w:line="360" w:lineRule="auto"/>
        <w:ind w:firstLine="562" w:firstLineChars="200"/>
        <w:rPr>
          <w:rStyle w:val="9"/>
          <w:rFonts w:hint="eastAsia" w:ascii="仿宋" w:hAnsi="仿宋" w:eastAsia="仿宋"/>
          <w:b/>
          <w:bCs w:val="0"/>
          <w:color w:val="000000"/>
          <w:sz w:val="28"/>
          <w:szCs w:val="28"/>
        </w:rPr>
      </w:pPr>
      <w:r>
        <w:rPr>
          <w:rStyle w:val="9"/>
          <w:rFonts w:hint="eastAsia" w:ascii="仿宋" w:hAnsi="仿宋" w:eastAsia="仿宋"/>
          <w:b/>
          <w:bCs w:val="0"/>
          <w:color w:val="000000"/>
          <w:sz w:val="28"/>
          <w:szCs w:val="28"/>
        </w:rPr>
        <w:t>（三）科学研究工作</w:t>
      </w:r>
    </w:p>
    <w:p w14:paraId="5DDCC232">
      <w:pPr>
        <w:spacing w:line="360" w:lineRule="auto"/>
        <w:ind w:firstLine="560" w:firstLineChars="200"/>
        <w:jc w:val="both"/>
        <w:rPr>
          <w:rStyle w:val="9"/>
          <w:rFonts w:hint="eastAsia" w:ascii="仿宋" w:hAnsi="仿宋" w:eastAsia="仿宋"/>
          <w:b w:val="0"/>
          <w:color w:val="000000"/>
          <w:sz w:val="28"/>
          <w:szCs w:val="28"/>
        </w:rPr>
      </w:pPr>
      <w:r>
        <w:rPr>
          <w:rStyle w:val="9"/>
          <w:rFonts w:hint="eastAsia" w:ascii="Times New Roman" w:hAnsi="Times New Roman" w:eastAsia="仿宋"/>
          <w:b w:val="0"/>
          <w:bCs/>
          <w:color w:val="000000"/>
          <w:sz w:val="28"/>
          <w:szCs w:val="28"/>
        </w:rPr>
        <w:t>202</w:t>
      </w:r>
      <w:r>
        <w:rPr>
          <w:rStyle w:val="9"/>
          <w:rFonts w:hint="eastAsia" w:ascii="Times New Roman" w:hAnsi="Times New Roman"/>
          <w:b w:val="0"/>
          <w:bCs/>
          <w:color w:val="000000"/>
          <w:sz w:val="28"/>
          <w:szCs w:val="28"/>
          <w:lang w:val="en-US" w:eastAsia="zh-CN"/>
        </w:rPr>
        <w:t>3</w:t>
      </w:r>
      <w:r>
        <w:rPr>
          <w:rStyle w:val="9"/>
          <w:rFonts w:hint="eastAsia" w:ascii="Times New Roman" w:hAnsi="Times New Roman" w:eastAsia="仿宋"/>
          <w:b w:val="0"/>
          <w:bCs/>
          <w:color w:val="000000"/>
          <w:sz w:val="28"/>
          <w:szCs w:val="28"/>
        </w:rPr>
        <w:t>年，本学位点团队围绕地方经济社会发展实际问题展开学术研究，在管理经济类、计算机类重要期刊《管理科学学报》《中国管理科学》、Information Fusion、IEEE Transactions on Systems Man and Cybernetics Systems 、Finance Research Letters、Expert Systems With Applications、Energy Economics、Emerging Markets Finance and Trade、Applied Intelligence等发表了多篇高水平论文。</w:t>
      </w:r>
    </w:p>
    <w:p w14:paraId="3469731B">
      <w:pPr>
        <w:pStyle w:val="6"/>
        <w:shd w:val="clear" w:color="auto" w:fill="FFFFFF"/>
        <w:spacing w:before="0" w:beforeAutospacing="0" w:after="0" w:afterAutospacing="0" w:line="360" w:lineRule="auto"/>
        <w:ind w:firstLine="562" w:firstLineChars="200"/>
        <w:rPr>
          <w:rStyle w:val="9"/>
          <w:rFonts w:ascii="仿宋" w:hAnsi="仿宋" w:eastAsia="仿宋"/>
          <w:color w:val="000000"/>
          <w:sz w:val="28"/>
          <w:szCs w:val="28"/>
        </w:rPr>
      </w:pPr>
      <w:r>
        <w:rPr>
          <w:rStyle w:val="9"/>
          <w:rFonts w:hint="eastAsia" w:ascii="仿宋" w:hAnsi="仿宋" w:eastAsia="仿宋"/>
          <w:color w:val="000000"/>
          <w:sz w:val="28"/>
          <w:szCs w:val="28"/>
        </w:rPr>
        <w:t>（四）研究生招生与培养工作</w:t>
      </w:r>
    </w:p>
    <w:p w14:paraId="419331B6">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1、研究生招生工作</w:t>
      </w:r>
    </w:p>
    <w:p w14:paraId="35FE0420">
      <w:pPr>
        <w:pStyle w:val="4"/>
        <w:keepNext w:val="0"/>
        <w:keepLines w:val="0"/>
        <w:pageBreakBefore w:val="0"/>
        <w:widowControl w:val="0"/>
        <w:kinsoku/>
        <w:wordWrap/>
        <w:overflowPunct/>
        <w:topLinePunct w:val="0"/>
        <w:autoSpaceDE w:val="0"/>
        <w:autoSpaceDN w:val="0"/>
        <w:bidi w:val="0"/>
        <w:adjustRightInd/>
        <w:snapToGrid/>
        <w:spacing w:line="360" w:lineRule="auto"/>
        <w:ind w:right="118" w:firstLine="559"/>
        <w:jc w:val="both"/>
        <w:textAlignment w:val="auto"/>
        <w:rPr>
          <w:b w:val="0"/>
          <w:bCs w:val="0"/>
        </w:rPr>
      </w:pPr>
      <w:r>
        <w:rPr>
          <w:spacing w:val="-5"/>
        </w:rPr>
        <w:t>为保证生源质量，本学位点采取的措施有：</w:t>
      </w:r>
      <w:r>
        <w:rPr>
          <w:spacing w:val="-6"/>
        </w:rPr>
        <w:t>(1)</w:t>
      </w:r>
      <w:r>
        <w:rPr>
          <w:spacing w:val="-2"/>
        </w:rPr>
        <w:t>积极宣传研究生资</w:t>
      </w:r>
      <w:r>
        <w:rPr>
          <w:spacing w:val="-6"/>
        </w:rPr>
        <w:t>助政策，吸引更多优秀学生报考；(2)</w:t>
      </w:r>
      <w:r>
        <w:rPr>
          <w:spacing w:val="-3"/>
        </w:rPr>
        <w:t>实行推免生和硕博连读生奖励制</w:t>
      </w:r>
      <w:r>
        <w:rPr>
          <w:spacing w:val="-6"/>
        </w:rPr>
        <w:t>度，对推免生和硕博连读生减免学费，尽可能将本校优秀毕业生留住； 2023</w:t>
      </w:r>
      <w:r>
        <w:rPr>
          <w:spacing w:val="-18"/>
        </w:rPr>
        <w:t xml:space="preserve"> 年博士招生 </w:t>
      </w:r>
      <w:r>
        <w:t>11</w:t>
      </w:r>
      <w:r>
        <w:rPr>
          <w:spacing w:val="-16"/>
        </w:rPr>
        <w:t xml:space="preserve"> 人，其中推免 </w:t>
      </w:r>
      <w:r>
        <w:t>1</w:t>
      </w:r>
      <w:r>
        <w:rPr>
          <w:spacing w:val="-16"/>
        </w:rPr>
        <w:t xml:space="preserve"> 人，授予学位 </w:t>
      </w:r>
      <w:r>
        <w:t>4</w:t>
      </w:r>
      <w:r>
        <w:rPr>
          <w:spacing w:val="-17"/>
        </w:rPr>
        <w:t xml:space="preserve"> 人；硕士招生 </w:t>
      </w:r>
      <w:r>
        <w:t>25</w:t>
      </w:r>
      <w:r>
        <w:rPr>
          <w:spacing w:val="-18"/>
        </w:rPr>
        <w:t xml:space="preserve">人，其中推免 </w:t>
      </w:r>
      <w:r>
        <w:t>1</w:t>
      </w:r>
      <w:r>
        <w:rPr>
          <w:spacing w:val="-25"/>
        </w:rPr>
        <w:t xml:space="preserve"> 人，授予学位 </w:t>
      </w:r>
      <w:r>
        <w:t>18</w:t>
      </w:r>
      <w:r>
        <w:rPr>
          <w:spacing w:val="-21"/>
        </w:rPr>
        <w:t xml:space="preserve"> 人。在校生博士有 </w:t>
      </w:r>
      <w:r>
        <w:t>2020</w:t>
      </w:r>
      <w:r>
        <w:rPr>
          <w:spacing w:val="-48"/>
        </w:rPr>
        <w:t xml:space="preserve"> 级 </w:t>
      </w:r>
      <w:r>
        <w:t>4</w:t>
      </w:r>
      <w:r>
        <w:rPr>
          <w:spacing w:val="-28"/>
        </w:rPr>
        <w:t xml:space="preserve"> 人，</w:t>
      </w:r>
      <w:r>
        <w:rPr>
          <w:spacing w:val="-10"/>
        </w:rPr>
        <w:t>2021</w:t>
      </w:r>
      <w:r>
        <w:rPr>
          <w:spacing w:val="-33"/>
        </w:rPr>
        <w:t xml:space="preserve">级 </w:t>
      </w:r>
      <w:r>
        <w:t>9</w:t>
      </w:r>
      <w:r>
        <w:rPr>
          <w:spacing w:val="-24"/>
        </w:rPr>
        <w:t xml:space="preserve"> 人，</w:t>
      </w:r>
      <w:r>
        <w:t>2022</w:t>
      </w:r>
      <w:r>
        <w:rPr>
          <w:spacing w:val="-46"/>
        </w:rPr>
        <w:t xml:space="preserve"> 级 </w:t>
      </w:r>
      <w:r>
        <w:t>9</w:t>
      </w:r>
      <w:r>
        <w:rPr>
          <w:spacing w:val="-24"/>
        </w:rPr>
        <w:t xml:space="preserve"> 人，</w:t>
      </w:r>
      <w:r>
        <w:t>2023</w:t>
      </w:r>
      <w:r>
        <w:rPr>
          <w:spacing w:val="-47"/>
        </w:rPr>
        <w:t xml:space="preserve"> 级 </w:t>
      </w:r>
      <w:r>
        <w:t>11</w:t>
      </w:r>
      <w:r>
        <w:rPr>
          <w:spacing w:val="-21"/>
        </w:rPr>
        <w:t xml:space="preserve"> 人；硕士有 </w:t>
      </w:r>
      <w:r>
        <w:t>2021</w:t>
      </w:r>
      <w:r>
        <w:rPr>
          <w:spacing w:val="-47"/>
        </w:rPr>
        <w:t xml:space="preserve"> 级 </w:t>
      </w:r>
      <w:r>
        <w:t>24</w:t>
      </w:r>
      <w:r>
        <w:rPr>
          <w:spacing w:val="-24"/>
        </w:rPr>
        <w:t xml:space="preserve"> 人，</w:t>
      </w:r>
      <w:r>
        <w:t>2022</w:t>
      </w:r>
      <w:r>
        <w:rPr>
          <w:spacing w:val="-35"/>
        </w:rPr>
        <w:t xml:space="preserve"> 级</w:t>
      </w:r>
      <w:r>
        <w:rPr>
          <w:b w:val="0"/>
          <w:bCs w:val="0"/>
        </w:rPr>
        <w:t>24</w:t>
      </w:r>
      <w:r>
        <w:rPr>
          <w:b w:val="0"/>
          <w:bCs w:val="0"/>
          <w:spacing w:val="-21"/>
        </w:rPr>
        <w:t xml:space="preserve"> 人，</w:t>
      </w:r>
      <w:r>
        <w:rPr>
          <w:b w:val="0"/>
          <w:bCs w:val="0"/>
        </w:rPr>
        <w:t>2023</w:t>
      </w:r>
      <w:r>
        <w:rPr>
          <w:b w:val="0"/>
          <w:bCs w:val="0"/>
          <w:spacing w:val="-41"/>
        </w:rPr>
        <w:t xml:space="preserve"> 级 </w:t>
      </w:r>
      <w:r>
        <w:rPr>
          <w:b w:val="0"/>
          <w:bCs w:val="0"/>
        </w:rPr>
        <w:t>25</w:t>
      </w:r>
      <w:r>
        <w:rPr>
          <w:b w:val="0"/>
          <w:bCs w:val="0"/>
          <w:spacing w:val="-9"/>
        </w:rPr>
        <w:t xml:space="preserve"> 人。</w:t>
      </w:r>
    </w:p>
    <w:p w14:paraId="5771EE50">
      <w:pPr>
        <w:pStyle w:val="3"/>
        <w:spacing w:line="358" w:lineRule="exact"/>
        <w:rPr>
          <w:b w:val="0"/>
          <w:bCs w:val="0"/>
        </w:rPr>
      </w:pPr>
    </w:p>
    <w:p w14:paraId="692ADF4E">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2、研究生培养制度建设</w:t>
      </w:r>
    </w:p>
    <w:p w14:paraId="474FDAEE">
      <w:pPr>
        <w:spacing w:line="360" w:lineRule="auto"/>
        <w:ind w:firstLine="560" w:firstLineChars="200"/>
        <w:rPr>
          <w:rFonts w:ascii="仿宋" w:hAnsi="仿宋" w:eastAsia="仿宋"/>
          <w:color w:val="000000"/>
          <w:sz w:val="28"/>
          <w:szCs w:val="28"/>
        </w:rPr>
      </w:pPr>
      <w:r>
        <w:rPr>
          <w:rFonts w:hint="eastAsia" w:ascii="仿宋" w:hAnsi="仿宋" w:eastAsia="仿宋" w:cs="仿宋"/>
          <w:sz w:val="28"/>
          <w:szCs w:val="28"/>
        </w:rPr>
        <w:t>在校院研究生培养制度基础上，</w:t>
      </w:r>
      <w:r>
        <w:rPr>
          <w:rFonts w:ascii="仿宋" w:hAnsi="仿宋" w:eastAsia="仿宋" w:cs="仿宋"/>
          <w:sz w:val="28"/>
          <w:szCs w:val="28"/>
        </w:rPr>
        <w:t>本学位点相继制定了</w:t>
      </w:r>
      <w:r>
        <w:rPr>
          <w:rFonts w:hint="eastAsia" w:ascii="仿宋" w:hAnsi="仿宋" w:eastAsia="仿宋" w:cs="仿宋"/>
          <w:sz w:val="28"/>
          <w:szCs w:val="28"/>
        </w:rPr>
        <w:t>《</w:t>
      </w:r>
      <w:r>
        <w:rPr>
          <w:rFonts w:ascii="仿宋" w:hAnsi="仿宋" w:eastAsia="仿宋" w:cs="仿宋"/>
          <w:sz w:val="28"/>
          <w:szCs w:val="28"/>
        </w:rPr>
        <w:t>山西大学管理科学与工程博</w:t>
      </w:r>
      <w:r>
        <w:rPr>
          <w:rFonts w:hint="eastAsia" w:ascii="仿宋" w:hAnsi="仿宋" w:eastAsia="仿宋" w:cs="仿宋"/>
          <w:sz w:val="28"/>
          <w:szCs w:val="28"/>
        </w:rPr>
        <w:t>（</w:t>
      </w:r>
      <w:r>
        <w:rPr>
          <w:rFonts w:ascii="仿宋" w:hAnsi="仿宋" w:eastAsia="仿宋" w:cs="仿宋"/>
          <w:sz w:val="28"/>
          <w:szCs w:val="28"/>
        </w:rPr>
        <w:t>硕</w:t>
      </w:r>
      <w:r>
        <w:rPr>
          <w:rFonts w:hint="eastAsia" w:ascii="仿宋" w:hAnsi="仿宋" w:eastAsia="仿宋" w:cs="仿宋"/>
          <w:sz w:val="28"/>
          <w:szCs w:val="28"/>
        </w:rPr>
        <w:t>）</w:t>
      </w:r>
      <w:r>
        <w:rPr>
          <w:rFonts w:ascii="仿宋" w:hAnsi="仿宋" w:eastAsia="仿宋" w:cs="仿宋"/>
          <w:sz w:val="28"/>
          <w:szCs w:val="28"/>
        </w:rPr>
        <w:t>士生管理规定</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山西大学管理科学与工程博士生论文规范</w:t>
      </w:r>
      <w:r>
        <w:rPr>
          <w:rFonts w:hint="eastAsia" w:ascii="仿宋" w:hAnsi="仿宋" w:eastAsia="仿宋" w:cs="仿宋"/>
          <w:sz w:val="28"/>
          <w:szCs w:val="28"/>
        </w:rPr>
        <w:t>》</w:t>
      </w:r>
      <w:r>
        <w:rPr>
          <w:rFonts w:ascii="仿宋" w:hAnsi="仿宋" w:eastAsia="仿宋" w:cs="仿宋"/>
          <w:sz w:val="28"/>
          <w:szCs w:val="28"/>
        </w:rPr>
        <w:t>等</w:t>
      </w:r>
      <w:r>
        <w:rPr>
          <w:rFonts w:hint="eastAsia" w:ascii="仿宋" w:hAnsi="仿宋" w:eastAsia="仿宋" w:cs="仿宋"/>
          <w:sz w:val="28"/>
          <w:szCs w:val="28"/>
        </w:rPr>
        <w:t>一</w:t>
      </w:r>
      <w:r>
        <w:rPr>
          <w:rFonts w:ascii="仿宋" w:hAnsi="仿宋" w:eastAsia="仿宋" w:cs="仿宋"/>
          <w:sz w:val="28"/>
          <w:szCs w:val="28"/>
        </w:rPr>
        <w:t>系列管理制度，涉及导师管理</w:t>
      </w:r>
      <w:r>
        <w:rPr>
          <w:rFonts w:hint="eastAsia" w:ascii="仿宋" w:hAnsi="仿宋" w:eastAsia="仿宋" w:cs="仿宋"/>
          <w:sz w:val="28"/>
          <w:szCs w:val="28"/>
        </w:rPr>
        <w:t>、</w:t>
      </w:r>
      <w:r>
        <w:rPr>
          <w:rFonts w:ascii="仿宋" w:hAnsi="仿宋" w:eastAsia="仿宋" w:cs="仿宋"/>
          <w:sz w:val="28"/>
          <w:szCs w:val="28"/>
        </w:rPr>
        <w:t>课程教学</w:t>
      </w:r>
      <w:r>
        <w:rPr>
          <w:rFonts w:hint="eastAsia" w:ascii="仿宋" w:hAnsi="仿宋" w:eastAsia="仿宋" w:cs="仿宋"/>
          <w:sz w:val="28"/>
          <w:szCs w:val="28"/>
        </w:rPr>
        <w:t>、</w:t>
      </w:r>
      <w:r>
        <w:rPr>
          <w:rFonts w:ascii="仿宋" w:hAnsi="仿宋" w:eastAsia="仿宋" w:cs="仿宋"/>
          <w:sz w:val="28"/>
          <w:szCs w:val="28"/>
        </w:rPr>
        <w:t>学风建设</w:t>
      </w:r>
      <w:r>
        <w:rPr>
          <w:rFonts w:hint="eastAsia" w:ascii="仿宋" w:hAnsi="仿宋" w:eastAsia="仿宋" w:cs="仿宋"/>
          <w:sz w:val="28"/>
          <w:szCs w:val="28"/>
        </w:rPr>
        <w:t>、</w:t>
      </w:r>
      <w:r>
        <w:rPr>
          <w:rFonts w:ascii="仿宋" w:hAnsi="仿宋" w:eastAsia="仿宋" w:cs="仿宋"/>
          <w:sz w:val="28"/>
          <w:szCs w:val="28"/>
        </w:rPr>
        <w:t>学位授予</w:t>
      </w:r>
      <w:r>
        <w:rPr>
          <w:rFonts w:hint="eastAsia" w:ascii="仿宋" w:hAnsi="仿宋" w:eastAsia="仿宋" w:cs="仿宋"/>
          <w:sz w:val="28"/>
          <w:szCs w:val="28"/>
        </w:rPr>
        <w:t>、</w:t>
      </w:r>
      <w:r>
        <w:rPr>
          <w:rFonts w:ascii="仿宋" w:hAnsi="仿宋" w:eastAsia="仿宋" w:cs="仿宋"/>
          <w:sz w:val="28"/>
          <w:szCs w:val="28"/>
        </w:rPr>
        <w:t>分流淘汰</w:t>
      </w:r>
      <w:r>
        <w:rPr>
          <w:rFonts w:hint="eastAsia" w:ascii="仿宋" w:hAnsi="仿宋" w:eastAsia="仿宋" w:cs="仿宋"/>
          <w:sz w:val="28"/>
          <w:szCs w:val="28"/>
        </w:rPr>
        <w:t>、</w:t>
      </w:r>
      <w:r>
        <w:rPr>
          <w:rFonts w:ascii="仿宋" w:hAnsi="仿宋" w:eastAsia="仿宋" w:cs="仿宋"/>
          <w:sz w:val="28"/>
          <w:szCs w:val="28"/>
        </w:rPr>
        <w:t>奖惩制度及日常管理等，保证了研究生培养工作</w:t>
      </w:r>
      <w:r>
        <w:rPr>
          <w:rFonts w:hint="eastAsia" w:ascii="仿宋" w:hAnsi="仿宋" w:eastAsia="仿宋" w:cs="仿宋"/>
          <w:sz w:val="28"/>
          <w:szCs w:val="28"/>
        </w:rPr>
        <w:t>的</w:t>
      </w:r>
      <w:r>
        <w:rPr>
          <w:rFonts w:ascii="仿宋" w:hAnsi="仿宋" w:eastAsia="仿宋" w:cs="仿宋"/>
          <w:sz w:val="28"/>
          <w:szCs w:val="28"/>
        </w:rPr>
        <w:t>有序开展</w:t>
      </w:r>
      <w:r>
        <w:rPr>
          <w:rFonts w:hint="eastAsia" w:ascii="仿宋" w:hAnsi="仿宋" w:eastAsia="仿宋" w:cs="仿宋"/>
          <w:sz w:val="28"/>
          <w:szCs w:val="28"/>
        </w:rPr>
        <w:t>。</w:t>
      </w:r>
      <w:r>
        <w:rPr>
          <w:rFonts w:hint="eastAsia" w:ascii="仿宋" w:hAnsi="仿宋" w:eastAsia="仿宋"/>
          <w:color w:val="000000"/>
          <w:spacing w:val="-1"/>
          <w:sz w:val="30"/>
          <w:szCs w:val="30"/>
        </w:rPr>
        <w:t>学科配有3名专职辅导员，</w:t>
      </w:r>
      <w:r>
        <w:rPr>
          <w:rFonts w:hint="eastAsia" w:ascii="仿宋" w:hAnsi="仿宋" w:eastAsia="仿宋"/>
          <w:color w:val="000000"/>
          <w:sz w:val="30"/>
          <w:szCs w:val="30"/>
        </w:rPr>
        <w:t>2名专职教务秘书，</w:t>
      </w:r>
      <w:r>
        <w:rPr>
          <w:rFonts w:hint="eastAsia" w:ascii="仿宋" w:hAnsi="仿宋" w:eastAsia="仿宋"/>
          <w:color w:val="000000"/>
          <w:spacing w:val="-1"/>
          <w:sz w:val="30"/>
          <w:szCs w:val="30"/>
        </w:rPr>
        <w:t>保障学业顺利开展。</w:t>
      </w:r>
      <w:r>
        <w:rPr>
          <w:rFonts w:hint="eastAsia" w:ascii="仿宋" w:hAnsi="仿宋" w:eastAsia="仿宋"/>
          <w:color w:val="000000"/>
          <w:sz w:val="28"/>
          <w:szCs w:val="28"/>
        </w:rPr>
        <w:t>同时，制定《研究生权益保障规定》，</w:t>
      </w:r>
    </w:p>
    <w:p w14:paraId="2AA1533B">
      <w:pPr>
        <w:spacing w:line="360" w:lineRule="auto"/>
        <w:rPr>
          <w:rFonts w:ascii="仿宋" w:hAnsi="仿宋" w:eastAsia="仿宋"/>
          <w:color w:val="000000"/>
          <w:sz w:val="28"/>
          <w:szCs w:val="28"/>
        </w:rPr>
      </w:pPr>
      <w:r>
        <w:rPr>
          <w:rFonts w:hint="eastAsia" w:ascii="仿宋" w:hAnsi="仿宋" w:eastAsia="仿宋"/>
          <w:color w:val="000000"/>
          <w:sz w:val="28"/>
          <w:szCs w:val="28"/>
        </w:rPr>
        <w:t>确保每位研究生有一个工位，并定期了解</w:t>
      </w:r>
      <w:r>
        <w:rPr>
          <w:rFonts w:hint="eastAsia" w:ascii="仿宋" w:hAnsi="仿宋" w:eastAsia="仿宋"/>
          <w:color w:val="000000"/>
          <w:spacing w:val="-1"/>
          <w:sz w:val="28"/>
          <w:szCs w:val="28"/>
        </w:rPr>
        <w:t>学</w:t>
      </w:r>
      <w:r>
        <w:rPr>
          <w:rFonts w:hint="eastAsia" w:ascii="仿宋" w:hAnsi="仿宋" w:eastAsia="仿宋"/>
          <w:color w:val="000000"/>
          <w:sz w:val="28"/>
          <w:szCs w:val="28"/>
        </w:rPr>
        <w:t>生对学科工作及导师的意见。</w:t>
      </w:r>
    </w:p>
    <w:p w14:paraId="3DA76BA1">
      <w:pPr>
        <w:pStyle w:val="3"/>
        <w:spacing w:line="358" w:lineRule="exact"/>
        <w:ind w:left="716"/>
      </w:pPr>
      <w:r>
        <w:rPr>
          <w:rFonts w:hint="eastAsia"/>
          <w:lang w:val="en-US" w:eastAsia="zh-CN"/>
        </w:rPr>
        <w:t>3、</w:t>
      </w:r>
      <w:r>
        <w:t>学术训练（专业实践）情况</w:t>
      </w:r>
    </w:p>
    <w:p w14:paraId="0E4459A9">
      <w:pPr>
        <w:pStyle w:val="4"/>
        <w:spacing w:before="8"/>
        <w:ind w:left="0"/>
        <w:rPr>
          <w:b/>
          <w:sz w:val="20"/>
        </w:rPr>
      </w:pPr>
    </w:p>
    <w:p w14:paraId="1E4A7757">
      <w:pPr>
        <w:pStyle w:val="4"/>
        <w:spacing w:before="1"/>
        <w:ind w:left="701"/>
      </w:pPr>
      <w:r>
        <w:t>本学位点学术训练按照《山西大学研究生专业实践管理办法》和</w:t>
      </w:r>
    </w:p>
    <w:p w14:paraId="7ABA64F3">
      <w:pPr>
        <w:pStyle w:val="4"/>
        <w:spacing w:before="8"/>
        <w:ind w:left="0"/>
        <w:rPr>
          <w:sz w:val="20"/>
        </w:rPr>
      </w:pPr>
    </w:p>
    <w:p w14:paraId="0CA1C8CA">
      <w:pPr>
        <w:pStyle w:val="4"/>
        <w:spacing w:before="1" w:line="417" w:lineRule="auto"/>
        <w:ind w:right="362"/>
        <w:jc w:val="both"/>
      </w:pPr>
      <w:r>
        <w:t>《山西大学管理科学与工程学术活动制度》要求执行，各方向每周至少开展一次学术研讨活动，要求博士生和硕士生必须参加，研究生依托于导师的科研项目开展学术研究，进行实践调研与考察，定期汇报进展，撰写研究报告。学术训练所需经费由重点学科经费以及导师科研经费支出。</w:t>
      </w:r>
    </w:p>
    <w:p w14:paraId="3CA266ED">
      <w:pPr>
        <w:pStyle w:val="3"/>
        <w:spacing w:line="358" w:lineRule="exact"/>
        <w:ind w:left="716"/>
      </w:pPr>
      <w:r>
        <w:rPr>
          <w:rFonts w:hint="eastAsia"/>
          <w:lang w:val="en-US" w:eastAsia="zh-CN"/>
        </w:rPr>
        <w:t>4、</w:t>
      </w:r>
      <w:r>
        <w:t>学术交流情况</w:t>
      </w:r>
    </w:p>
    <w:p w14:paraId="49083046">
      <w:pPr>
        <w:pStyle w:val="4"/>
        <w:spacing w:before="8"/>
        <w:ind w:left="0"/>
        <w:rPr>
          <w:b/>
          <w:sz w:val="20"/>
        </w:rPr>
      </w:pPr>
    </w:p>
    <w:p w14:paraId="7D134AF9">
      <w:pPr>
        <w:pStyle w:val="4"/>
        <w:spacing w:before="1" w:line="417" w:lineRule="auto"/>
        <w:ind w:right="257" w:firstLine="600"/>
        <w:jc w:val="both"/>
      </w:pPr>
      <w:r>
        <w:rPr>
          <w:spacing w:val="-3"/>
        </w:rPr>
        <w:t>本学位点鼓励学生参加国内外高水平学术会议，选派优秀学生出国访学，到国内高校进行交流研修。</w:t>
      </w:r>
      <w:r>
        <w:t>2023</w:t>
      </w:r>
      <w:r>
        <w:rPr>
          <w:spacing w:val="-9"/>
        </w:rPr>
        <w:t xml:space="preserve"> 年举办了“第六届山西大学</w:t>
      </w:r>
      <w:r>
        <w:rPr>
          <w:spacing w:val="-6"/>
        </w:rPr>
        <w:t>金融学术研讨会”，来自中国人民大学、中科院系统科学研究院、天</w:t>
      </w:r>
      <w:r>
        <w:rPr>
          <w:spacing w:val="-13"/>
        </w:rPr>
        <w:t xml:space="preserve">津大学、厦门大学等 </w:t>
      </w:r>
      <w:r>
        <w:t>20</w:t>
      </w:r>
      <w:r>
        <w:rPr>
          <w:spacing w:val="-11"/>
        </w:rPr>
        <w:t xml:space="preserve"> 余所大学、政府部门和业界的专家学者，以及</w:t>
      </w:r>
      <w:r>
        <w:rPr>
          <w:spacing w:val="-13"/>
        </w:rPr>
        <w:t xml:space="preserve">我校金融相关专业师生 </w:t>
      </w:r>
      <w:r>
        <w:t>250</w:t>
      </w:r>
      <w:r>
        <w:rPr>
          <w:spacing w:val="-10"/>
        </w:rPr>
        <w:t xml:space="preserve"> 余人参加了研讨会。</w:t>
      </w:r>
      <w:r>
        <w:t>2023</w:t>
      </w:r>
      <w:r>
        <w:rPr>
          <w:spacing w:val="-11"/>
        </w:rPr>
        <w:t xml:space="preserve"> 年邀请外校专家</w:t>
      </w:r>
      <w:r>
        <w:rPr>
          <w:spacing w:val="-41"/>
        </w:rPr>
        <w:t xml:space="preserve">逾 </w:t>
      </w:r>
      <w:r>
        <w:t>20</w:t>
      </w:r>
      <w:r>
        <w:rPr>
          <w:spacing w:val="-13"/>
        </w:rPr>
        <w:t xml:space="preserve"> 人次进行学术报告，参加各类学术会议的师生约 </w:t>
      </w:r>
      <w:r>
        <w:t>500</w:t>
      </w:r>
      <w:r>
        <w:rPr>
          <w:spacing w:val="-18"/>
        </w:rPr>
        <w:t xml:space="preserve"> 人次。</w:t>
      </w:r>
    </w:p>
    <w:p w14:paraId="5FEE8565">
      <w:pPr>
        <w:pStyle w:val="6"/>
        <w:shd w:val="clear" w:color="auto" w:fill="FFFFFF"/>
        <w:spacing w:before="156" w:beforeLines="50" w:beforeAutospacing="0" w:after="0" w:afterAutospacing="0" w:line="360" w:lineRule="auto"/>
        <w:rPr>
          <w:rFonts w:ascii="黑体"/>
          <w:b/>
          <w:sz w:val="20"/>
        </w:rPr>
      </w:pPr>
      <w:r>
        <w:rPr>
          <w:rFonts w:hint="eastAsia" w:ascii="黑体" w:hAnsi="黑体" w:eastAsia="黑体" w:cs="黑体"/>
          <w:b/>
          <w:bCs/>
          <w:kern w:val="2"/>
          <w:sz w:val="36"/>
          <w:szCs w:val="36"/>
        </w:rPr>
        <w:t>三、学位点建设存在的问题</w:t>
      </w:r>
    </w:p>
    <w:p w14:paraId="3C037D1F">
      <w:pPr>
        <w:pStyle w:val="4"/>
        <w:spacing w:before="1" w:line="417" w:lineRule="auto"/>
        <w:ind w:right="254" w:firstLine="600"/>
        <w:jc w:val="both"/>
      </w:pPr>
      <w:r>
        <w:rPr>
          <w:b/>
          <w:spacing w:val="-12"/>
        </w:rPr>
        <w:t>（1）</w:t>
      </w:r>
      <w:r>
        <w:rPr>
          <w:b/>
          <w:spacing w:val="-6"/>
        </w:rPr>
        <w:t>学科虽有部分国际交流，但国际化程度较低。</w:t>
      </w:r>
      <w:r>
        <w:rPr>
          <w:spacing w:val="-2"/>
        </w:rPr>
        <w:t>课程内容缺乏</w:t>
      </w:r>
      <w:r>
        <w:t>国际视野，教材和案例主要来自本国，缺乏国际案例和跨文化内容。与国外高校和科研机构的合作项目少，科研合作网络不广泛。学术会议、研讨会等活动较少涉及国际学者，学术交流渠道有限。发表的学</w:t>
      </w:r>
      <w:r>
        <w:rPr>
          <w:spacing w:val="-3"/>
        </w:rPr>
        <w:t>术论文和研究成果在国际学术期刊和会议上较少，国际影响力不足。</w:t>
      </w:r>
    </w:p>
    <w:p w14:paraId="10ED8E87">
      <w:pPr>
        <w:spacing w:before="0" w:line="417" w:lineRule="auto"/>
        <w:ind w:left="101" w:right="119" w:firstLine="600"/>
        <w:jc w:val="left"/>
        <w:rPr>
          <w:sz w:val="28"/>
        </w:rPr>
      </w:pPr>
      <w:r>
        <w:rPr>
          <w:b/>
          <w:spacing w:val="1"/>
          <w:w w:val="99"/>
          <w:sz w:val="28"/>
        </w:rPr>
        <w:t>（</w:t>
      </w:r>
      <w:r>
        <w:rPr>
          <w:b/>
          <w:spacing w:val="-2"/>
          <w:w w:val="99"/>
          <w:sz w:val="28"/>
        </w:rPr>
        <w:t>2</w:t>
      </w:r>
      <w:r>
        <w:rPr>
          <w:b/>
          <w:spacing w:val="-125"/>
          <w:w w:val="99"/>
          <w:sz w:val="28"/>
        </w:rPr>
        <w:t>）</w:t>
      </w:r>
      <w:r>
        <w:rPr>
          <w:b/>
          <w:spacing w:val="-11"/>
          <w:w w:val="99"/>
          <w:sz w:val="28"/>
        </w:rPr>
        <w:t>学科团队成员成长较快，但缺乏国内外知名的学术领军人才。</w:t>
      </w:r>
      <w:r>
        <w:rPr>
          <w:spacing w:val="-7"/>
          <w:sz w:val="28"/>
        </w:rPr>
        <w:t xml:space="preserve">学科目前承担的国家级和省部级项目均以面上和青年项目为主。与国内一流高校的管理科学与工程学科相比，由于缺乏知名学术领军人才， </w:t>
      </w:r>
      <w:r>
        <w:rPr>
          <w:spacing w:val="-5"/>
          <w:sz w:val="28"/>
        </w:rPr>
        <w:t>各类重点和重大项目立项较少，团队建设与“双一流”学科高要求相</w:t>
      </w:r>
      <w:r>
        <w:rPr>
          <w:spacing w:val="-4"/>
          <w:sz w:val="28"/>
        </w:rPr>
        <w:t>比存在一定差距。</w:t>
      </w:r>
    </w:p>
    <w:p w14:paraId="6A08E7AC">
      <w:pPr>
        <w:spacing w:before="0" w:line="417" w:lineRule="auto"/>
        <w:ind w:left="101" w:right="257" w:firstLine="600"/>
        <w:jc w:val="left"/>
        <w:rPr>
          <w:spacing w:val="-3"/>
          <w:sz w:val="28"/>
        </w:rPr>
      </w:pPr>
      <w:r>
        <w:rPr>
          <w:b/>
          <w:spacing w:val="-18"/>
          <w:sz w:val="28"/>
        </w:rPr>
        <w:t>（3）</w:t>
      </w:r>
      <w:r>
        <w:rPr>
          <w:b/>
          <w:spacing w:val="-5"/>
          <w:sz w:val="28"/>
        </w:rPr>
        <w:t>学科的智库品牌效应形成，但社会服务的深度和广度有待加强。</w:t>
      </w:r>
      <w:r>
        <w:rPr>
          <w:spacing w:val="-3"/>
          <w:sz w:val="28"/>
        </w:rPr>
        <w:t>学科聚焦山西资源型经济转型发展和企业亟需解决的问题，对推动山西高质量发展的新路径与新举措提出了诸多政策建议。但是，仍然缺少有重要影响力的政策咨询报告，而且在成果转化方面尚未形成稳定的研究模式和成熟的研究团队。</w:t>
      </w:r>
    </w:p>
    <w:p w14:paraId="4ADFCF49">
      <w:pPr>
        <w:pStyle w:val="6"/>
        <w:shd w:val="clear" w:color="auto" w:fill="FFFFFF"/>
        <w:spacing w:before="156" w:beforeLines="50" w:beforeAutospacing="0" w:after="0" w:afterAutospacing="0" w:line="360" w:lineRule="auto"/>
        <w:rPr>
          <w:rFonts w:ascii="黑体" w:hAnsi="黑体" w:eastAsia="黑体" w:cs="黑体"/>
          <w:b/>
          <w:bCs/>
          <w:kern w:val="2"/>
          <w:sz w:val="36"/>
          <w:szCs w:val="36"/>
        </w:rPr>
      </w:pPr>
      <w:r>
        <w:rPr>
          <w:rFonts w:hint="eastAsia" w:ascii="黑体" w:hAnsi="黑体" w:eastAsia="黑体" w:cs="黑体"/>
          <w:b/>
          <w:bCs/>
          <w:kern w:val="2"/>
          <w:sz w:val="36"/>
          <w:szCs w:val="36"/>
        </w:rPr>
        <w:t>四、学位授权点202</w:t>
      </w:r>
      <w:r>
        <w:rPr>
          <w:rFonts w:hint="eastAsia" w:ascii="黑体" w:hAnsi="黑体" w:eastAsia="黑体" w:cs="黑体"/>
          <w:b/>
          <w:bCs/>
          <w:kern w:val="2"/>
          <w:sz w:val="36"/>
          <w:szCs w:val="36"/>
          <w:lang w:val="en-US" w:eastAsia="zh-CN"/>
        </w:rPr>
        <w:t>4</w:t>
      </w:r>
      <w:r>
        <w:rPr>
          <w:rFonts w:hint="eastAsia" w:ascii="黑体" w:hAnsi="黑体" w:eastAsia="黑体" w:cs="黑体"/>
          <w:b/>
          <w:bCs/>
          <w:kern w:val="2"/>
          <w:sz w:val="36"/>
          <w:szCs w:val="36"/>
        </w:rPr>
        <w:t>年度建设计划</w:t>
      </w:r>
    </w:p>
    <w:p w14:paraId="14F7402C">
      <w:pPr>
        <w:spacing w:before="0" w:line="417" w:lineRule="auto"/>
        <w:ind w:left="101" w:right="257" w:firstLine="600"/>
        <w:jc w:val="left"/>
        <w:rPr>
          <w:rStyle w:val="9"/>
          <w:rFonts w:hint="eastAsia" w:ascii="仿宋" w:hAnsi="仿宋" w:eastAsia="仿宋"/>
          <w:b w:val="0"/>
          <w:bCs w:val="0"/>
          <w:color w:val="000000"/>
          <w:sz w:val="28"/>
          <w:szCs w:val="28"/>
        </w:rPr>
      </w:pPr>
      <w:r>
        <w:rPr>
          <w:rStyle w:val="9"/>
          <w:rFonts w:hint="eastAsia" w:ascii="仿宋" w:hAnsi="仿宋" w:eastAsia="仿宋"/>
          <w:b w:val="0"/>
          <w:bCs w:val="0"/>
          <w:color w:val="000000"/>
          <w:sz w:val="28"/>
          <w:szCs w:val="28"/>
        </w:rPr>
        <w:t>本学科</w:t>
      </w:r>
      <w:r>
        <w:rPr>
          <w:rStyle w:val="9"/>
          <w:rFonts w:ascii="仿宋" w:hAnsi="仿宋" w:eastAsia="仿宋"/>
          <w:b w:val="0"/>
          <w:bCs w:val="0"/>
          <w:color w:val="000000"/>
          <w:sz w:val="28"/>
          <w:szCs w:val="28"/>
        </w:rPr>
        <w:t>学位点将进一步夯实研究方向，突出重点，体现学科的价值和特色，实现“顶天立地”。</w:t>
      </w:r>
      <w:r>
        <w:rPr>
          <w:rStyle w:val="9"/>
          <w:rFonts w:hint="eastAsia" w:ascii="仿宋" w:hAnsi="仿宋" w:eastAsia="仿宋"/>
          <w:b w:val="0"/>
          <w:bCs w:val="0"/>
          <w:color w:val="000000"/>
          <w:sz w:val="28"/>
          <w:szCs w:val="28"/>
        </w:rPr>
        <w:t>一方面，</w:t>
      </w:r>
      <w:r>
        <w:rPr>
          <w:rStyle w:val="9"/>
          <w:rFonts w:ascii="仿宋" w:hAnsi="仿宋" w:eastAsia="仿宋"/>
          <w:b w:val="0"/>
          <w:bCs w:val="0"/>
          <w:color w:val="000000"/>
          <w:sz w:val="28"/>
          <w:szCs w:val="28"/>
        </w:rPr>
        <w:t>学位点将紧跟</w:t>
      </w:r>
      <w:r>
        <w:rPr>
          <w:rStyle w:val="9"/>
          <w:rFonts w:hint="eastAsia" w:ascii="仿宋" w:hAnsi="仿宋" w:eastAsia="仿宋"/>
          <w:b w:val="0"/>
          <w:bCs w:val="0"/>
          <w:color w:val="000000"/>
          <w:sz w:val="28"/>
          <w:szCs w:val="28"/>
        </w:rPr>
        <w:t>数智时代前沿，继续凝练学科特色</w:t>
      </w:r>
      <w:r>
        <w:rPr>
          <w:rStyle w:val="9"/>
          <w:rFonts w:ascii="仿宋" w:hAnsi="仿宋" w:eastAsia="仿宋"/>
          <w:b w:val="0"/>
          <w:bCs w:val="0"/>
          <w:color w:val="000000"/>
          <w:sz w:val="28"/>
          <w:szCs w:val="28"/>
        </w:rPr>
        <w:t>，发表TOP高水平学术论文</w:t>
      </w:r>
      <w:r>
        <w:rPr>
          <w:rStyle w:val="9"/>
          <w:rFonts w:hint="eastAsia" w:ascii="仿宋" w:hAnsi="仿宋" w:eastAsia="仿宋"/>
          <w:b w:val="0"/>
          <w:bCs w:val="0"/>
          <w:color w:val="000000"/>
          <w:sz w:val="28"/>
          <w:szCs w:val="28"/>
        </w:rPr>
        <w:t>，争取引进尖端学术人才</w:t>
      </w:r>
      <w:r>
        <w:rPr>
          <w:rStyle w:val="9"/>
          <w:rFonts w:ascii="仿宋" w:hAnsi="仿宋" w:eastAsia="仿宋"/>
          <w:b w:val="0"/>
          <w:bCs w:val="0"/>
          <w:color w:val="000000"/>
          <w:sz w:val="28"/>
          <w:szCs w:val="28"/>
        </w:rPr>
        <w:t>；</w:t>
      </w:r>
      <w:r>
        <w:rPr>
          <w:rStyle w:val="9"/>
          <w:rFonts w:ascii="仿宋" w:hAnsi="仿宋" w:eastAsia="仿宋"/>
          <w:b w:val="0"/>
          <w:bCs w:val="0"/>
          <w:sz w:val="28"/>
          <w:szCs w:val="28"/>
        </w:rPr>
        <w:t>同时</w:t>
      </w:r>
      <w:r>
        <w:rPr>
          <w:rStyle w:val="9"/>
          <w:rFonts w:hint="eastAsia" w:ascii="仿宋" w:hAnsi="仿宋" w:eastAsia="仿宋"/>
          <w:b w:val="0"/>
          <w:bCs w:val="0"/>
          <w:sz w:val="28"/>
          <w:szCs w:val="28"/>
        </w:rPr>
        <w:t>，</w:t>
      </w:r>
      <w:r>
        <w:rPr>
          <w:rStyle w:val="9"/>
          <w:rFonts w:ascii="仿宋" w:hAnsi="仿宋" w:eastAsia="仿宋"/>
          <w:b w:val="0"/>
          <w:bCs w:val="0"/>
          <w:sz w:val="28"/>
          <w:szCs w:val="28"/>
        </w:rPr>
        <w:t>学位点围绕山西资源型经济转型发展问题提供决策咨询，着力打造“三晋智库”品牌</w:t>
      </w:r>
      <w:r>
        <w:rPr>
          <w:rStyle w:val="9"/>
          <w:rFonts w:hint="eastAsia" w:ascii="仿宋" w:hAnsi="仿宋" w:eastAsia="仿宋"/>
          <w:b w:val="0"/>
          <w:bCs w:val="0"/>
          <w:sz w:val="28"/>
          <w:szCs w:val="28"/>
        </w:rPr>
        <w:t>，培养杰出实干人才</w:t>
      </w:r>
      <w:r>
        <w:rPr>
          <w:rStyle w:val="9"/>
          <w:rFonts w:ascii="仿宋" w:hAnsi="仿宋" w:eastAsia="仿宋"/>
          <w:b w:val="0"/>
          <w:bCs w:val="0"/>
          <w:sz w:val="28"/>
          <w:szCs w:val="28"/>
        </w:rPr>
        <w:t>。</w:t>
      </w:r>
      <w:r>
        <w:rPr>
          <w:rStyle w:val="9"/>
          <w:rFonts w:hint="eastAsia" w:ascii="仿宋" w:hAnsi="仿宋" w:eastAsia="仿宋"/>
          <w:b w:val="0"/>
          <w:bCs w:val="0"/>
          <w:color w:val="000000"/>
          <w:sz w:val="28"/>
          <w:szCs w:val="28"/>
        </w:rPr>
        <w:t>主要措施：</w:t>
      </w:r>
    </w:p>
    <w:p w14:paraId="28FFEA29">
      <w:pPr>
        <w:pStyle w:val="6"/>
        <w:shd w:val="clear" w:color="auto" w:fill="FFFFFF"/>
        <w:spacing w:before="0" w:beforeAutospacing="0" w:after="0" w:afterAutospacing="0" w:line="360" w:lineRule="auto"/>
        <w:ind w:firstLine="562" w:firstLineChars="200"/>
        <w:jc w:val="both"/>
        <w:rPr>
          <w:rStyle w:val="9"/>
          <w:rFonts w:ascii="仿宋" w:hAnsi="仿宋" w:eastAsia="仿宋"/>
          <w:color w:val="000000"/>
          <w:sz w:val="28"/>
          <w:szCs w:val="28"/>
        </w:rPr>
      </w:pPr>
      <w:r>
        <w:rPr>
          <w:rFonts w:hint="eastAsia" w:ascii="仿宋" w:hAnsi="仿宋" w:eastAsia="仿宋"/>
          <w:b/>
          <w:bCs/>
          <w:color w:val="000000"/>
          <w:sz w:val="28"/>
          <w:szCs w:val="28"/>
        </w:rPr>
        <w:t>（1）</w:t>
      </w:r>
      <w:r>
        <w:rPr>
          <w:rStyle w:val="9"/>
          <w:rFonts w:hint="eastAsia" w:ascii="仿宋" w:hAnsi="仿宋"/>
          <w:color w:val="000000"/>
          <w:sz w:val="28"/>
          <w:szCs w:val="28"/>
          <w:lang w:val="en-US" w:eastAsia="zh-CN"/>
        </w:rPr>
        <w:t>聚焦重点领域</w:t>
      </w:r>
      <w:r>
        <w:rPr>
          <w:rStyle w:val="9"/>
          <w:rFonts w:hint="eastAsia" w:ascii="仿宋" w:hAnsi="仿宋" w:eastAsia="仿宋"/>
          <w:color w:val="000000"/>
          <w:sz w:val="28"/>
          <w:szCs w:val="28"/>
        </w:rPr>
        <w:t>，继续加强学科师资团队建设</w:t>
      </w:r>
    </w:p>
    <w:p w14:paraId="6F0E005F">
      <w:pPr>
        <w:pStyle w:val="6"/>
        <w:shd w:val="clear" w:color="auto" w:fill="FFFFFF"/>
        <w:spacing w:before="0" w:beforeAutospacing="0" w:after="0" w:afterAutospacing="0" w:line="360" w:lineRule="auto"/>
        <w:ind w:firstLine="600"/>
        <w:jc w:val="both"/>
        <w:rPr>
          <w:rStyle w:val="9"/>
          <w:rFonts w:hint="eastAsia" w:ascii="仿宋" w:hAnsi="仿宋" w:eastAsia="仿宋" w:cs="Times New Roman"/>
          <w:b w:val="0"/>
          <w:bCs w:val="0"/>
          <w:sz w:val="28"/>
          <w:szCs w:val="28"/>
        </w:rPr>
      </w:pPr>
      <w:r>
        <w:rPr>
          <w:rStyle w:val="9"/>
          <w:rFonts w:hint="eastAsia" w:ascii="仿宋" w:hAnsi="仿宋" w:eastAsia="仿宋" w:cs="Times New Roman"/>
          <w:b w:val="0"/>
          <w:bCs w:val="0"/>
          <w:sz w:val="28"/>
          <w:szCs w:val="28"/>
        </w:rPr>
        <w:t>瞄准数智背景下学科呈现出的交叉化、技术化、效能化、协同化、复杂化的前沿趋势，不断凝练特色优势，促进各研究方向</w:t>
      </w:r>
      <w:r>
        <w:rPr>
          <w:rStyle w:val="9"/>
          <w:rFonts w:ascii="仿宋" w:hAnsi="仿宋" w:eastAsia="仿宋" w:cs="Times New Roman"/>
          <w:b w:val="0"/>
          <w:bCs w:val="0"/>
          <w:sz w:val="28"/>
          <w:szCs w:val="28"/>
        </w:rPr>
        <w:t>深度融合</w:t>
      </w:r>
      <w:r>
        <w:rPr>
          <w:rStyle w:val="9"/>
          <w:rFonts w:hint="eastAsia" w:ascii="仿宋" w:hAnsi="仿宋" w:eastAsia="仿宋" w:cs="Times New Roman"/>
          <w:b w:val="0"/>
          <w:bCs w:val="0"/>
          <w:sz w:val="28"/>
          <w:szCs w:val="28"/>
        </w:rPr>
        <w:t>，推动学科与时俱进，提高学科核心竞争力。通过多种举措打造高水平师资团队，并与国内外知名高校、学术协会逐渐形成长效交流和合作机制，结合山西能源转型需求，形成区域特色鲜明的学科体系。</w:t>
      </w:r>
    </w:p>
    <w:p w14:paraId="470137EC">
      <w:pPr>
        <w:pStyle w:val="6"/>
        <w:shd w:val="clear" w:color="auto" w:fill="FFFFFF"/>
        <w:spacing w:before="0" w:beforeAutospacing="0" w:after="0" w:afterAutospacing="0" w:line="360" w:lineRule="auto"/>
        <w:ind w:firstLine="600"/>
        <w:jc w:val="both"/>
        <w:rPr>
          <w:rStyle w:val="9"/>
          <w:rFonts w:hint="eastAsia" w:ascii="仿宋" w:hAnsi="仿宋" w:eastAsia="仿宋" w:cs="Times New Roman"/>
          <w:b w:val="0"/>
          <w:bCs w:val="0"/>
          <w:sz w:val="28"/>
          <w:szCs w:val="28"/>
        </w:rPr>
      </w:pPr>
      <w:r>
        <w:rPr>
          <w:rStyle w:val="9"/>
          <w:rFonts w:hint="eastAsia" w:ascii="仿宋" w:hAnsi="仿宋" w:eastAsia="仿宋" w:cs="Times New Roman"/>
          <w:sz w:val="28"/>
          <w:szCs w:val="28"/>
        </w:rPr>
        <w:t>（2）</w:t>
      </w:r>
      <w:r>
        <w:rPr>
          <w:rStyle w:val="9"/>
          <w:rFonts w:hint="eastAsia" w:ascii="仿宋" w:hAnsi="仿宋" w:cs="Times New Roman"/>
          <w:sz w:val="28"/>
          <w:szCs w:val="28"/>
          <w:lang w:val="en-US" w:eastAsia="zh-CN"/>
        </w:rPr>
        <w:t>多项举措并行</w:t>
      </w:r>
      <w:r>
        <w:rPr>
          <w:rStyle w:val="9"/>
          <w:rFonts w:hint="eastAsia" w:ascii="仿宋" w:hAnsi="仿宋" w:eastAsia="仿宋" w:cs="Times New Roman"/>
          <w:sz w:val="28"/>
          <w:szCs w:val="28"/>
        </w:rPr>
        <w:t>，逐步提升学科的国际化水平</w:t>
      </w:r>
    </w:p>
    <w:p w14:paraId="75DB2256">
      <w:pPr>
        <w:pStyle w:val="6"/>
        <w:shd w:val="clear" w:color="auto" w:fill="FFFFFF"/>
        <w:spacing w:before="0" w:beforeAutospacing="0" w:after="0" w:afterAutospacing="0" w:line="360" w:lineRule="auto"/>
        <w:ind w:firstLine="600"/>
        <w:jc w:val="both"/>
        <w:rPr>
          <w:rStyle w:val="9"/>
          <w:rFonts w:hint="eastAsia" w:ascii="仿宋" w:hAnsi="仿宋" w:eastAsia="仿宋" w:cs="Times New Roman"/>
          <w:b w:val="0"/>
          <w:bCs w:val="0"/>
          <w:sz w:val="28"/>
          <w:szCs w:val="28"/>
        </w:rPr>
      </w:pPr>
      <w:r>
        <w:rPr>
          <w:rStyle w:val="9"/>
          <w:rFonts w:hint="eastAsia" w:ascii="仿宋" w:hAnsi="仿宋" w:eastAsia="仿宋" w:cs="Times New Roman"/>
          <w:b w:val="0"/>
          <w:bCs w:val="0"/>
          <w:sz w:val="28"/>
          <w:szCs w:val="28"/>
        </w:rPr>
        <w:t>组织学科团队积极参与国际顶级学术会议，通过主题报告、论文展示等形式，宣传学科最新研究成果，提升国际学术影响力；</w:t>
      </w:r>
      <w:r>
        <w:rPr>
          <w:rStyle w:val="9"/>
          <w:rFonts w:ascii="仿宋" w:hAnsi="仿宋" w:eastAsia="仿宋" w:cs="Times New Roman"/>
          <w:b w:val="0"/>
          <w:bCs w:val="0"/>
          <w:sz w:val="28"/>
          <w:szCs w:val="28"/>
        </w:rPr>
        <w:t>设立专项基金，鼓励和支持教师</w:t>
      </w:r>
      <w:r>
        <w:rPr>
          <w:rStyle w:val="9"/>
          <w:rFonts w:hint="eastAsia" w:ascii="仿宋" w:hAnsi="仿宋" w:eastAsia="仿宋" w:cs="Times New Roman"/>
          <w:b w:val="0"/>
          <w:bCs w:val="0"/>
          <w:sz w:val="28"/>
          <w:szCs w:val="28"/>
        </w:rPr>
        <w:t>、学生</w:t>
      </w:r>
      <w:r>
        <w:rPr>
          <w:rStyle w:val="9"/>
          <w:rFonts w:ascii="仿宋" w:hAnsi="仿宋" w:eastAsia="仿宋" w:cs="Times New Roman"/>
          <w:b w:val="0"/>
          <w:bCs w:val="0"/>
          <w:sz w:val="28"/>
          <w:szCs w:val="28"/>
        </w:rPr>
        <w:t>参加国际学术会议或短期访学，提</w:t>
      </w:r>
      <w:r>
        <w:rPr>
          <w:rStyle w:val="9"/>
          <w:rFonts w:hint="eastAsia" w:ascii="仿宋" w:hAnsi="仿宋" w:eastAsia="仿宋" w:cs="Times New Roman"/>
          <w:b w:val="0"/>
          <w:bCs w:val="0"/>
          <w:sz w:val="28"/>
          <w:szCs w:val="28"/>
        </w:rPr>
        <w:t>升团队成员的国际化视野；通过引入</w:t>
      </w:r>
      <w:r>
        <w:rPr>
          <w:rStyle w:val="9"/>
          <w:rFonts w:ascii="仿宋" w:hAnsi="仿宋" w:eastAsia="仿宋" w:cs="Times New Roman"/>
          <w:b w:val="0"/>
          <w:bCs w:val="0"/>
          <w:sz w:val="28"/>
          <w:szCs w:val="28"/>
        </w:rPr>
        <w:t>国际先进的教材和教学理念</w:t>
      </w:r>
      <w:r>
        <w:rPr>
          <w:rStyle w:val="9"/>
          <w:rFonts w:hint="eastAsia" w:ascii="仿宋" w:hAnsi="仿宋" w:eastAsia="仿宋" w:cs="Times New Roman"/>
          <w:b w:val="0"/>
          <w:bCs w:val="0"/>
          <w:sz w:val="28"/>
          <w:szCs w:val="28"/>
        </w:rPr>
        <w:t>、开设</w:t>
      </w:r>
      <w:r>
        <w:rPr>
          <w:rStyle w:val="9"/>
          <w:rFonts w:ascii="仿宋" w:hAnsi="仿宋" w:eastAsia="仿宋" w:cs="Times New Roman"/>
          <w:b w:val="0"/>
          <w:bCs w:val="0"/>
          <w:sz w:val="28"/>
          <w:szCs w:val="28"/>
        </w:rPr>
        <w:t>全英文授课课程</w:t>
      </w:r>
      <w:r>
        <w:rPr>
          <w:rStyle w:val="9"/>
          <w:rFonts w:hint="eastAsia" w:ascii="仿宋" w:hAnsi="仿宋" w:eastAsia="仿宋" w:cs="Times New Roman"/>
          <w:b w:val="0"/>
          <w:bCs w:val="0"/>
          <w:sz w:val="28"/>
          <w:szCs w:val="28"/>
        </w:rPr>
        <w:t>、线上线下协同式教学等方式</w:t>
      </w:r>
      <w:r>
        <w:rPr>
          <w:rStyle w:val="9"/>
          <w:rFonts w:ascii="仿宋" w:hAnsi="仿宋" w:eastAsia="仿宋" w:cs="Times New Roman"/>
          <w:b w:val="0"/>
          <w:bCs w:val="0"/>
          <w:sz w:val="28"/>
          <w:szCs w:val="28"/>
        </w:rPr>
        <w:t>提升课程与教学的国际化水平</w:t>
      </w:r>
      <w:r>
        <w:rPr>
          <w:rStyle w:val="9"/>
          <w:rFonts w:hint="eastAsia" w:ascii="仿宋" w:hAnsi="仿宋" w:eastAsia="仿宋" w:cs="Times New Roman"/>
          <w:b w:val="0"/>
          <w:bCs w:val="0"/>
          <w:sz w:val="28"/>
          <w:szCs w:val="28"/>
        </w:rPr>
        <w:t>。</w:t>
      </w:r>
    </w:p>
    <w:p w14:paraId="7D280F34">
      <w:pPr>
        <w:pStyle w:val="6"/>
        <w:shd w:val="clear" w:color="auto" w:fill="FFFFFF"/>
        <w:spacing w:before="0" w:beforeAutospacing="0" w:after="0" w:afterAutospacing="0" w:line="360" w:lineRule="auto"/>
        <w:ind w:firstLine="600"/>
        <w:rPr>
          <w:rStyle w:val="9"/>
          <w:rFonts w:hint="default" w:ascii="仿宋" w:hAnsi="仿宋" w:eastAsia="仿宋"/>
          <w:color w:val="000000"/>
          <w:sz w:val="28"/>
          <w:szCs w:val="28"/>
          <w:lang w:val="en-US" w:eastAsia="zh-CN"/>
        </w:rPr>
      </w:pPr>
      <w:r>
        <w:rPr>
          <w:rStyle w:val="9"/>
          <w:rFonts w:ascii="仿宋" w:hAnsi="仿宋" w:eastAsia="仿宋"/>
          <w:color w:val="000000"/>
          <w:sz w:val="28"/>
          <w:szCs w:val="28"/>
        </w:rPr>
        <w:t>（</w:t>
      </w:r>
      <w:r>
        <w:rPr>
          <w:rStyle w:val="9"/>
          <w:rFonts w:hint="eastAsia" w:ascii="仿宋" w:hAnsi="仿宋" w:eastAsia="仿宋"/>
          <w:color w:val="000000"/>
          <w:sz w:val="28"/>
          <w:szCs w:val="28"/>
        </w:rPr>
        <w:t>3</w:t>
      </w:r>
      <w:r>
        <w:rPr>
          <w:rStyle w:val="9"/>
          <w:rFonts w:ascii="仿宋" w:hAnsi="仿宋" w:eastAsia="仿宋"/>
          <w:color w:val="000000"/>
          <w:sz w:val="28"/>
          <w:szCs w:val="28"/>
        </w:rPr>
        <w:t>）</w:t>
      </w:r>
      <w:r>
        <w:rPr>
          <w:rStyle w:val="9"/>
          <w:rFonts w:hint="eastAsia" w:ascii="仿宋" w:hAnsi="仿宋"/>
          <w:color w:val="000000"/>
          <w:sz w:val="28"/>
          <w:szCs w:val="28"/>
          <w:lang w:val="en-US" w:eastAsia="zh-CN"/>
        </w:rPr>
        <w:t>加强产学研合作，服务地方经济发展</w:t>
      </w:r>
    </w:p>
    <w:p w14:paraId="23DABB83">
      <w:pPr>
        <w:pStyle w:val="6"/>
        <w:shd w:val="clear" w:color="auto" w:fill="FFFFFF"/>
        <w:spacing w:before="0" w:beforeAutospacing="0" w:after="0" w:afterAutospacing="0" w:line="360" w:lineRule="auto"/>
        <w:ind w:firstLine="600"/>
        <w:jc w:val="both"/>
        <w:rPr>
          <w:rStyle w:val="9"/>
          <w:rFonts w:hint="eastAsia" w:ascii="仿宋" w:hAnsi="仿宋" w:eastAsia="仿宋" w:cs="Times New Roman"/>
          <w:b w:val="0"/>
          <w:bCs w:val="0"/>
          <w:sz w:val="28"/>
          <w:szCs w:val="28"/>
        </w:rPr>
      </w:pPr>
      <w:r>
        <w:rPr>
          <w:rStyle w:val="9"/>
          <w:rFonts w:hint="eastAsia" w:ascii="仿宋" w:hAnsi="仿宋" w:eastAsia="仿宋" w:cs="Times New Roman"/>
          <w:b w:val="0"/>
          <w:bCs w:val="0"/>
          <w:sz w:val="28"/>
          <w:szCs w:val="28"/>
        </w:rPr>
        <w:t>持续深化产学研合作，紧密对接山西经济转型需求，在合作过程中广泛吸纳高层次人才，打造专业化的社会服务团队。针对山西资源型经济转型的迫切需求，为政府提供产业升级、区域规划等方面的战略性建议，深度参与政策的前期调研与后期评估工作，助力科学决策。在企业合作层面，主动与各行业龙头企业建立长期稳定的合作关系，通过协同创新整合各方优势资源，凝聚政产学研多方力量，共同攻克行业关键技术难题，推动科研成果高效转化为实际生产力，为山西经济高质量发展提供强有力的智力支持和创新动力。</w:t>
      </w:r>
    </w:p>
    <w:p w14:paraId="617AEB80">
      <w:pPr>
        <w:pStyle w:val="6"/>
        <w:shd w:val="clear" w:color="auto" w:fill="FFFFFF"/>
        <w:spacing w:before="0" w:beforeAutospacing="0" w:after="0" w:afterAutospacing="0" w:line="360" w:lineRule="auto"/>
        <w:ind w:firstLine="600"/>
        <w:jc w:val="both"/>
        <w:rPr>
          <w:rStyle w:val="9"/>
          <w:rFonts w:hint="eastAsia" w:ascii="仿宋" w:hAnsi="仿宋" w:eastAsia="仿宋" w:cs="Times New Roman"/>
          <w:b w:val="0"/>
          <w:bCs w:val="0"/>
          <w:sz w:val="28"/>
          <w:szCs w:val="28"/>
        </w:rPr>
      </w:pPr>
    </w:p>
    <w:p w14:paraId="6802C4C9">
      <w:pPr>
        <w:spacing w:before="0" w:line="417" w:lineRule="auto"/>
        <w:ind w:left="101" w:right="257" w:firstLine="600"/>
        <w:jc w:val="left"/>
        <w:rPr>
          <w:rStyle w:val="9"/>
          <w:rFonts w:hint="eastAsia" w:ascii="仿宋" w:hAnsi="仿宋" w:eastAsia="仿宋"/>
          <w:b w:val="0"/>
          <w:bCs w:val="0"/>
          <w:color w:val="000000"/>
          <w:sz w:val="28"/>
          <w:szCs w:val="28"/>
        </w:rPr>
      </w:pPr>
    </w:p>
    <w:sectPr>
      <w:pgSz w:w="11910" w:h="16840"/>
      <w:pgMar w:top="1500" w:right="1440" w:bottom="1380" w:left="1600" w:header="0" w:footer="11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CAD4">
    <w:pPr>
      <w:pStyle w:val="4"/>
      <w:spacing w:line="14" w:lineRule="auto"/>
      <w:ind w:left="0"/>
      <w:rPr>
        <w:sz w:val="20"/>
      </w:rPr>
    </w:pPr>
    <w:r>
      <w:pict>
        <v:shape id="_x0000_s2049" o:spid="_x0000_s2049" o:spt="202" type="#_x0000_t202" style="position:absolute;left:0pt;margin-left:293.3pt;margin-top:770.95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EC197B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102B2027"/>
    <w:rsid w:val="2E9948DB"/>
    <w:rsid w:val="57B04AB4"/>
    <w:rsid w:val="62685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qFormat/>
    <w:uiPriority w:val="1"/>
    <w:pPr>
      <w:spacing w:before="27"/>
      <w:ind w:left="101"/>
      <w:jc w:val="center"/>
      <w:outlineLvl w:val="1"/>
    </w:pPr>
    <w:rPr>
      <w:rFonts w:ascii="黑体" w:hAnsi="黑体" w:eastAsia="黑体" w:cs="黑体"/>
      <w:sz w:val="32"/>
      <w:szCs w:val="32"/>
    </w:rPr>
  </w:style>
  <w:style w:type="paragraph" w:styleId="3">
    <w:name w:val="heading 2"/>
    <w:basedOn w:val="1"/>
    <w:qFormat/>
    <w:uiPriority w:val="1"/>
    <w:pPr>
      <w:ind w:left="663"/>
      <w:outlineLvl w:val="2"/>
    </w:pPr>
    <w:rPr>
      <w:rFonts w:ascii="仿宋" w:hAnsi="仿宋" w:eastAsia="仿宋" w:cs="仿宋"/>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01"/>
    </w:pPr>
    <w:rPr>
      <w:rFonts w:ascii="仿宋" w:hAnsi="仿宋" w:eastAsia="仿宋" w:cs="仿宋"/>
      <w:sz w:val="28"/>
      <w:szCs w:val="2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paragraph" w:customStyle="1" w:styleId="1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4293</Words>
  <Characters>4413</Characters>
  <TotalTime>1</TotalTime>
  <ScaleCrop>false</ScaleCrop>
  <LinksUpToDate>false</LinksUpToDate>
  <CharactersWithSpaces>4528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2025-03-10T09:43:00Z</dcterms:created>
  <dc:creator>Administrator</dc:creator>
  <cp:lastModifiedBy>嘉琦</cp:lastModifiedBy>
  <dcterms:modified xsi:type="dcterms:W3CDTF">2025-03-21T07:23:00Z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Acrobat PDFMaker 18 Word 版</vt:lpwstr>
  </property>
  <property fmtid="{D5CDD505-2E9C-101B-9397-08002B2CF9AE}" pid="4" name="LastSaved">
    <vt:filetime>2025-03-10T00:00:00Z</vt:filetime>
  </property>
  <property fmtid="{D5CDD505-2E9C-101B-9397-08002B2CF9AE}" pid="5" name="KSOTemplateDocerSaveRecord">
    <vt:lpwstr>eyJoZGlkIjoiNzQxZDM5NTQ2M2IyYmMyYTQxOGNiZGY1NTk1MTVjMGEiLCJ1c2VySWQiOiI2MDExNDc0MzAifQ==</vt:lpwstr>
  </property>
  <property fmtid="{D5CDD505-2E9C-101B-9397-08002B2CF9AE}" pid="6" name="KSOProductBuildVer">
    <vt:lpwstr>2052-12.1.0.19770</vt:lpwstr>
  </property>
  <property fmtid="{D5CDD505-2E9C-101B-9397-08002B2CF9AE}" pid="7" name="ICV">
    <vt:lpwstr>B80501018E2142B29FAC82FCDF4BE758_12</vt:lpwstr>
  </property>
</Properties>
</file>