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D1972" w14:textId="77777777" w:rsidR="00EE4ABB" w:rsidRDefault="00266326">
      <w:pPr>
        <w:jc w:val="center"/>
        <w:rPr>
          <w:rFonts w:ascii="黑体" w:eastAsia="黑体" w:hAnsi="黑体"/>
          <w:sz w:val="32"/>
          <w:szCs w:val="32"/>
        </w:rPr>
      </w:pPr>
      <w:r>
        <w:rPr>
          <w:rFonts w:ascii="黑体" w:eastAsia="黑体" w:hAnsi="黑体" w:hint="eastAsia"/>
          <w:sz w:val="32"/>
          <w:szCs w:val="32"/>
        </w:rPr>
        <w:t>工程管理硕士专业学位授权点建设年度报告</w:t>
      </w:r>
    </w:p>
    <w:p w14:paraId="5B294D21" w14:textId="77777777" w:rsidR="00EE4ABB" w:rsidRDefault="00266326">
      <w:pPr>
        <w:jc w:val="center"/>
        <w:rPr>
          <w:rFonts w:ascii="黑体" w:eastAsia="黑体" w:hAnsi="黑体"/>
          <w:sz w:val="32"/>
          <w:szCs w:val="32"/>
        </w:rPr>
      </w:pPr>
      <w:r>
        <w:rPr>
          <w:rFonts w:ascii="黑体" w:eastAsia="黑体" w:hAnsi="黑体" w:hint="eastAsia"/>
          <w:sz w:val="32"/>
          <w:szCs w:val="32"/>
        </w:rPr>
        <w:t>（</w:t>
      </w:r>
      <w:r>
        <w:rPr>
          <w:rFonts w:ascii="黑体" w:eastAsia="黑体" w:hAnsi="黑体"/>
          <w:sz w:val="32"/>
          <w:szCs w:val="32"/>
        </w:rPr>
        <w:t>202</w:t>
      </w:r>
      <w:r>
        <w:rPr>
          <w:rFonts w:ascii="黑体" w:eastAsia="黑体" w:hAnsi="黑体" w:hint="eastAsia"/>
          <w:sz w:val="32"/>
          <w:szCs w:val="32"/>
        </w:rPr>
        <w:t>3年）</w:t>
      </w:r>
    </w:p>
    <w:p w14:paraId="4F994905" w14:textId="77777777" w:rsidR="00EE4ABB" w:rsidRDefault="00266326">
      <w:pPr>
        <w:pStyle w:val="a4"/>
        <w:shd w:val="clear" w:color="auto" w:fill="FFFFFF"/>
        <w:spacing w:before="0" w:beforeAutospacing="0" w:after="0" w:afterAutospacing="0" w:line="360" w:lineRule="auto"/>
        <w:rPr>
          <w:rFonts w:ascii="黑体" w:eastAsia="黑体" w:hAnsi="黑体"/>
          <w:color w:val="000000"/>
          <w:sz w:val="28"/>
          <w:szCs w:val="28"/>
        </w:rPr>
      </w:pPr>
      <w:r>
        <w:rPr>
          <w:rStyle w:val="a5"/>
          <w:rFonts w:ascii="黑体" w:eastAsia="黑体" w:hAnsi="黑体" w:hint="eastAsia"/>
          <w:color w:val="000000"/>
          <w:sz w:val="28"/>
          <w:szCs w:val="28"/>
        </w:rPr>
        <w:t>一、总体概况</w:t>
      </w:r>
    </w:p>
    <w:p w14:paraId="6BB77ECF" w14:textId="77777777" w:rsidR="00EE4ABB" w:rsidRDefault="0026632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（一）学位授权点基本情况</w:t>
      </w:r>
    </w:p>
    <w:p w14:paraId="5692E0B9" w14:textId="77777777" w:rsidR="00EE4ABB" w:rsidRDefault="00266326">
      <w:pPr>
        <w:pStyle w:val="1"/>
        <w:spacing w:line="360" w:lineRule="auto"/>
        <w:ind w:firstLine="560"/>
        <w:rPr>
          <w:rFonts w:ascii="仿宋" w:eastAsia="仿宋" w:hAnsi="仿宋" w:cs="仿宋"/>
          <w:sz w:val="28"/>
          <w:szCs w:val="28"/>
        </w:rPr>
      </w:pPr>
      <w:r>
        <w:rPr>
          <w:rFonts w:ascii="仿宋" w:eastAsia="仿宋" w:hAnsi="仿宋" w:cs="仿宋"/>
          <w:sz w:val="28"/>
          <w:szCs w:val="28"/>
        </w:rPr>
        <w:t>山西大学工</w:t>
      </w:r>
      <w:r>
        <w:rPr>
          <w:rFonts w:ascii="仿宋" w:eastAsia="仿宋" w:hAnsi="仿宋" w:cs="仿宋" w:hint="eastAsia"/>
          <w:sz w:val="28"/>
          <w:szCs w:val="28"/>
        </w:rPr>
        <w:t>程</w:t>
      </w:r>
      <w:r>
        <w:rPr>
          <w:rFonts w:ascii="仿宋" w:eastAsia="仿宋" w:hAnsi="仿宋" w:cs="仿宋"/>
          <w:sz w:val="28"/>
          <w:szCs w:val="28"/>
        </w:rPr>
        <w:t>管理硕士（MEM）前身为工业工程领域物流工程与管理（2007获批，山西省首批招收物流工程专业硕士的学位授权点）和工业工程与管理（2010获批）两个专业硕士学位授权点。2019年，根据国家学位点调整安排，两个硕士学位授权点合并调整为工业工程与管理领域工程管理硕士（MEM）。</w:t>
      </w:r>
    </w:p>
    <w:p w14:paraId="478EC5B4"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在平台建设方面，学位点设置有专业学位教育中心：工业工程与管理研究室和物流工程与管理研究室（智慧物流）。学位</w:t>
      </w:r>
      <w:proofErr w:type="gramStart"/>
      <w:r>
        <w:rPr>
          <w:rFonts w:ascii="仿宋" w:eastAsia="仿宋" w:hAnsi="仿宋" w:cs="仿宋" w:hint="eastAsia"/>
          <w:sz w:val="28"/>
          <w:szCs w:val="28"/>
        </w:rPr>
        <w:t>点拥有</w:t>
      </w:r>
      <w:proofErr w:type="gramEnd"/>
      <w:r>
        <w:rPr>
          <w:rFonts w:ascii="仿宋" w:eastAsia="仿宋" w:hAnsi="仿宋" w:cs="仿宋" w:hint="eastAsia"/>
          <w:sz w:val="28"/>
          <w:szCs w:val="28"/>
        </w:rPr>
        <w:t>先进的实验教学条件，于2011年获批山西省普通高校特色重点学科，并依托国家级本科一流专业，建设有统计与大数据实验室、金融工程实验室和智慧物流实验室等学科实验室，为研究生培养创造了良好的平台。同时依托重大横向科研项目，加强产学研融合。持续深化实习基地建设，在山西苇杭科技有限公司、</w:t>
      </w:r>
      <w:proofErr w:type="gramStart"/>
      <w:r>
        <w:rPr>
          <w:rFonts w:ascii="仿宋" w:eastAsia="仿宋" w:hAnsi="仿宋" w:cs="仿宋" w:hint="eastAsia"/>
          <w:sz w:val="28"/>
          <w:szCs w:val="28"/>
        </w:rPr>
        <w:t>山西乾晖项目管理</w:t>
      </w:r>
      <w:proofErr w:type="gramEnd"/>
      <w:r>
        <w:rPr>
          <w:rFonts w:ascii="仿宋" w:eastAsia="仿宋" w:hAnsi="仿宋" w:cs="仿宋" w:hint="eastAsia"/>
          <w:sz w:val="28"/>
          <w:szCs w:val="28"/>
        </w:rPr>
        <w:t>有限公司、</w:t>
      </w:r>
      <w:proofErr w:type="gramStart"/>
      <w:r>
        <w:rPr>
          <w:rFonts w:ascii="仿宋" w:eastAsia="仿宋" w:hAnsi="仿宋" w:cs="仿宋" w:hint="eastAsia"/>
          <w:sz w:val="28"/>
          <w:szCs w:val="28"/>
        </w:rPr>
        <w:t>山西云启正</w:t>
      </w:r>
      <w:proofErr w:type="gramEnd"/>
      <w:r>
        <w:rPr>
          <w:rFonts w:ascii="仿宋" w:eastAsia="仿宋" w:hAnsi="仿宋" w:cs="仿宋" w:hint="eastAsia"/>
          <w:sz w:val="28"/>
          <w:szCs w:val="28"/>
        </w:rPr>
        <w:t>通物流有限责任公司、山西</w:t>
      </w:r>
      <w:proofErr w:type="gramStart"/>
      <w:r>
        <w:rPr>
          <w:rFonts w:ascii="仿宋" w:eastAsia="仿宋" w:hAnsi="仿宋" w:cs="仿宋" w:hint="eastAsia"/>
          <w:sz w:val="28"/>
          <w:szCs w:val="28"/>
        </w:rPr>
        <w:t>晋云现代</w:t>
      </w:r>
      <w:proofErr w:type="gramEnd"/>
      <w:r>
        <w:rPr>
          <w:rFonts w:ascii="仿宋" w:eastAsia="仿宋" w:hAnsi="仿宋" w:cs="仿宋" w:hint="eastAsia"/>
          <w:sz w:val="28"/>
          <w:szCs w:val="28"/>
        </w:rPr>
        <w:t>物流有限公司、中鼎物流集团有限公司、快成物流科技有限公司等企业建有研究生校外实习基地，为培养学生实践创新能力提供关键的平台支撑。</w:t>
      </w:r>
    </w:p>
    <w:p w14:paraId="0DA061FC" w14:textId="6451D091" w:rsidR="00EE4ABB" w:rsidRDefault="0026632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（二）培养目标与方向简介</w:t>
      </w:r>
    </w:p>
    <w:p w14:paraId="2A6FFCE7" w14:textId="77777777" w:rsidR="00EE4ABB" w:rsidRDefault="00266326">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培养掌握马克思主义基本原理、中国特色社会主义理论体系及习近平新时代中国特色社会主义思想，具备良好的政治素质和职业道德，</w:t>
      </w:r>
      <w:r>
        <w:rPr>
          <w:rFonts w:ascii="仿宋" w:eastAsia="仿宋" w:hAnsi="仿宋" w:cs="仿宋" w:hint="eastAsia"/>
          <w:sz w:val="28"/>
          <w:szCs w:val="28"/>
        </w:rPr>
        <w:lastRenderedPageBreak/>
        <w:t>掌握系统规划与设计、定量分析与评价、管理优化与决策等专业知识和能力，具备系统化思维、批判性精神、创新意 识、战略眼光、团队合作与领导力的高层次、复合型工程管理人才。</w:t>
      </w:r>
    </w:p>
    <w:p w14:paraId="20713191" w14:textId="77777777" w:rsidR="00EE4ABB" w:rsidRDefault="00266326">
      <w:pPr>
        <w:pStyle w:val="1"/>
        <w:spacing w:line="360" w:lineRule="auto"/>
        <w:ind w:firstLine="560"/>
        <w:rPr>
          <w:rFonts w:ascii="仿宋" w:eastAsia="仿宋" w:hAnsi="仿宋" w:cs="仿宋"/>
          <w:sz w:val="28"/>
          <w:szCs w:val="28"/>
        </w:rPr>
      </w:pPr>
      <w:r>
        <w:rPr>
          <w:rFonts w:ascii="仿宋" w:eastAsia="仿宋" w:hAnsi="仿宋" w:cs="仿宋" w:hint="eastAsia"/>
          <w:sz w:val="28"/>
          <w:szCs w:val="28"/>
        </w:rPr>
        <w:t>具体要求为：</w:t>
      </w:r>
    </w:p>
    <w:p w14:paraId="4AEEBFB9" w14:textId="77777777" w:rsidR="00EE4ABB" w:rsidRDefault="00266326">
      <w:pPr>
        <w:pStyle w:val="1"/>
        <w:spacing w:line="360" w:lineRule="auto"/>
        <w:ind w:firstLine="560"/>
        <w:rPr>
          <w:rFonts w:ascii="仿宋" w:eastAsia="仿宋" w:hAnsi="仿宋" w:cs="仿宋"/>
          <w:sz w:val="28"/>
          <w:szCs w:val="28"/>
        </w:rPr>
      </w:pPr>
      <w:r>
        <w:rPr>
          <w:rFonts w:ascii="仿宋" w:eastAsia="仿宋" w:hAnsi="仿宋" w:cs="仿宋" w:hint="eastAsia"/>
          <w:sz w:val="28"/>
          <w:szCs w:val="28"/>
        </w:rPr>
        <w:t>（1）拥护党的基本路线和方针政策，热爱祖国，遵纪守法，具有良好的职业道德和敬业精神，具有科学严谨和求真务实的学习态度和工作作风，身心健康。</w:t>
      </w:r>
    </w:p>
    <w:p w14:paraId="114F13E8" w14:textId="77777777" w:rsidR="00EE4ABB" w:rsidRDefault="00266326">
      <w:pPr>
        <w:pStyle w:val="1"/>
        <w:spacing w:line="360" w:lineRule="auto"/>
        <w:ind w:firstLine="560"/>
        <w:rPr>
          <w:rFonts w:ascii="仿宋" w:eastAsia="仿宋" w:hAnsi="仿宋" w:cs="仿宋"/>
          <w:sz w:val="28"/>
          <w:szCs w:val="28"/>
        </w:rPr>
      </w:pPr>
      <w:r>
        <w:rPr>
          <w:rFonts w:ascii="仿宋" w:eastAsia="仿宋" w:hAnsi="仿宋" w:cs="仿宋" w:hint="eastAsia"/>
          <w:sz w:val="28"/>
          <w:szCs w:val="28"/>
        </w:rPr>
        <w:t>（2）掌握工程管理理论和优化分析方法的专业技术和知识，了解工程管理在国内外的发展趋势，能独立从事工程管理中的实际问题、提高管理系统整体功能等管理工作。</w:t>
      </w:r>
    </w:p>
    <w:p w14:paraId="5175C247" w14:textId="77777777" w:rsidR="00EE4ABB" w:rsidRDefault="00266326">
      <w:pPr>
        <w:pStyle w:val="1"/>
        <w:spacing w:line="360" w:lineRule="auto"/>
        <w:ind w:firstLine="560"/>
        <w:rPr>
          <w:rFonts w:ascii="仿宋" w:eastAsia="仿宋" w:hAnsi="仿宋" w:cs="仿宋"/>
          <w:sz w:val="28"/>
          <w:szCs w:val="28"/>
        </w:rPr>
      </w:pPr>
      <w:r>
        <w:rPr>
          <w:rFonts w:ascii="仿宋" w:eastAsia="仿宋" w:hAnsi="仿宋" w:cs="仿宋" w:hint="eastAsia"/>
          <w:sz w:val="28"/>
          <w:szCs w:val="28"/>
        </w:rPr>
        <w:t>（3）掌握一门外国语，并能运用该门外国语比较熟练地阅读本专业的外文资料。</w:t>
      </w:r>
    </w:p>
    <w:p w14:paraId="0EEB2ABA"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工程管理主要在以下六个方向展开研究和人才培养：</w:t>
      </w:r>
    </w:p>
    <w:p w14:paraId="21C78666"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（1）决策分析与管理系统工程：主要研究人工智能、决策分析、机器学习、大数据分析、信息融合、系统优化等领域的技术及应用。</w:t>
      </w:r>
    </w:p>
    <w:p w14:paraId="767E2C21"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 生产及服务系统工程：主要研究系统可靠性分析、服务系统优化、质量管理工程、物流系统优化、区域可持续发展等领域的技术及应用。</w:t>
      </w:r>
    </w:p>
    <w:p w14:paraId="3D35F0D5"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（3）企业经营工程：主要研究企业运营模式、供应链工程、企业经营战略、企业可持续发展等。</w:t>
      </w:r>
    </w:p>
    <w:p w14:paraId="2458DF16"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（4）物流系统标准化。面向经济全球化和网络经济的新形势，以及山西省经济转型的大背景，研究物流产业对区域经济的影响、物</w:t>
      </w:r>
      <w:r>
        <w:rPr>
          <w:rFonts w:ascii="仿宋" w:eastAsia="仿宋" w:hAnsi="仿宋" w:cs="仿宋" w:hint="eastAsia"/>
          <w:sz w:val="28"/>
          <w:szCs w:val="28"/>
        </w:rPr>
        <w:lastRenderedPageBreak/>
        <w:t>流产业的发展效率、区域物流的发展规划、物流园区规划等内容。</w:t>
      </w:r>
    </w:p>
    <w:p w14:paraId="7B02E64B"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（5）物流智能决策与优化。面向煤炭、农业、钢铁、化工等行业物流运营管理中物流成本管控、物流效率改进等问题，研究供产销环节中物流路径优化、物流系统优化等内容。</w:t>
      </w:r>
    </w:p>
    <w:p w14:paraId="7302A716"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（6）绿色物流。通过充分利用物流资源，采用先进的物流技术，合理规划和实施运输、仓储、装卸、搬运、包装、流通加工、配送、信息处理等物流活动，减少物流对环境影响的过程。</w:t>
      </w:r>
    </w:p>
    <w:p w14:paraId="31A23A59" w14:textId="6CC1DD40" w:rsidR="00EE4ABB" w:rsidRDefault="00266326">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（三）研究生</w:t>
      </w:r>
      <w:r w:rsidR="00FF7973">
        <w:rPr>
          <w:rFonts w:ascii="仿宋" w:eastAsia="仿宋" w:hAnsi="仿宋" w:cs="仿宋" w:hint="eastAsia"/>
          <w:b/>
          <w:bCs/>
          <w:sz w:val="28"/>
          <w:szCs w:val="28"/>
        </w:rPr>
        <w:t>培养</w:t>
      </w:r>
    </w:p>
    <w:p w14:paraId="0EFC8FD9"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近几年山西大学工程管理专业学位报考形势非常好，报考人数都远超出招生人数，竞争非常激烈。在校生有20</w:t>
      </w:r>
      <w:r>
        <w:rPr>
          <w:rFonts w:ascii="仿宋" w:eastAsia="仿宋" w:hAnsi="仿宋" w:cs="仿宋"/>
          <w:sz w:val="28"/>
          <w:szCs w:val="28"/>
        </w:rPr>
        <w:t>21</w:t>
      </w:r>
      <w:r>
        <w:rPr>
          <w:rFonts w:ascii="仿宋" w:eastAsia="仿宋" w:hAnsi="仿宋" w:cs="仿宋" w:hint="eastAsia"/>
          <w:sz w:val="28"/>
          <w:szCs w:val="28"/>
        </w:rPr>
        <w:t>级9</w:t>
      </w:r>
      <w:r>
        <w:rPr>
          <w:rFonts w:ascii="仿宋" w:eastAsia="仿宋" w:hAnsi="仿宋" w:cs="仿宋"/>
          <w:sz w:val="28"/>
          <w:szCs w:val="28"/>
        </w:rPr>
        <w:t>7</w:t>
      </w:r>
      <w:r>
        <w:rPr>
          <w:rFonts w:ascii="仿宋" w:eastAsia="仿宋" w:hAnsi="仿宋" w:cs="仿宋" w:hint="eastAsia"/>
          <w:sz w:val="28"/>
          <w:szCs w:val="28"/>
        </w:rPr>
        <w:t>人，202</w:t>
      </w:r>
      <w:r>
        <w:rPr>
          <w:rFonts w:ascii="仿宋" w:eastAsia="仿宋" w:hAnsi="仿宋" w:cs="仿宋"/>
          <w:sz w:val="28"/>
          <w:szCs w:val="28"/>
        </w:rPr>
        <w:t>2</w:t>
      </w:r>
      <w:r>
        <w:rPr>
          <w:rFonts w:ascii="仿宋" w:eastAsia="仿宋" w:hAnsi="仿宋" w:cs="仿宋" w:hint="eastAsia"/>
          <w:sz w:val="28"/>
          <w:szCs w:val="28"/>
        </w:rPr>
        <w:t>级101人，2023级89人。2023年本专业学位毕业生总人数64人，全部获得学位授予。</w:t>
      </w:r>
    </w:p>
    <w:p w14:paraId="5064E22D"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培养期间研究生取得“互联网+”大学生创新创业大赛，全国大学生市场调查与分析大赛等多项赛事的国家级，省级奖项；多人获得证券从业资格，教师资格，会计资格证书；在就业方面，2023届64名毕业生全部签约国有企业、民营企业等单位、高等教育单位，就业率达到100%。</w:t>
      </w:r>
    </w:p>
    <w:p w14:paraId="03658B6C" w14:textId="5496163F" w:rsidR="009D2AED" w:rsidRPr="009D2AED" w:rsidRDefault="009D2AED" w:rsidP="009D2AED">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本专业研究生与导师合作在</w:t>
      </w:r>
      <w:r w:rsidRPr="00D46A8D">
        <w:rPr>
          <w:i/>
          <w:kern w:val="0"/>
          <w:szCs w:val="21"/>
        </w:rPr>
        <w:t>Expert Systems with Application</w:t>
      </w:r>
      <w:r w:rsidRPr="00CE2AE5">
        <w:rPr>
          <w:kern w:val="0"/>
          <w:szCs w:val="21"/>
        </w:rPr>
        <w:t xml:space="preserve"> </w:t>
      </w:r>
      <w:r>
        <w:rPr>
          <w:kern w:val="0"/>
          <w:szCs w:val="21"/>
        </w:rPr>
        <w:t>、</w:t>
      </w:r>
      <w:r w:rsidRPr="009D2AED">
        <w:rPr>
          <w:i/>
          <w:kern w:val="0"/>
          <w:szCs w:val="21"/>
        </w:rPr>
        <w:t>Applied</w:t>
      </w:r>
      <w:r w:rsidRPr="00CE2AE5">
        <w:rPr>
          <w:kern w:val="0"/>
          <w:szCs w:val="21"/>
        </w:rPr>
        <w:t xml:space="preserve"> </w:t>
      </w:r>
      <w:r w:rsidRPr="009D2AED">
        <w:rPr>
          <w:i/>
          <w:kern w:val="0"/>
          <w:szCs w:val="21"/>
        </w:rPr>
        <w:t>Intelligence</w:t>
      </w:r>
      <w:r>
        <w:rPr>
          <w:kern w:val="0"/>
          <w:szCs w:val="21"/>
        </w:rPr>
        <w:t>、</w:t>
      </w:r>
      <w:r>
        <w:rPr>
          <w:rFonts w:hint="eastAsia"/>
          <w:kern w:val="0"/>
          <w:szCs w:val="21"/>
        </w:rPr>
        <w:t xml:space="preserve"> </w:t>
      </w:r>
      <w:r>
        <w:rPr>
          <w:i/>
          <w:kern w:val="0"/>
          <w:szCs w:val="21"/>
        </w:rPr>
        <w:t>Complex</w:t>
      </w:r>
      <w:r>
        <w:rPr>
          <w:kern w:val="0"/>
          <w:szCs w:val="21"/>
        </w:rPr>
        <w:t xml:space="preserve"> &amp; </w:t>
      </w:r>
      <w:r>
        <w:rPr>
          <w:i/>
          <w:kern w:val="0"/>
          <w:szCs w:val="21"/>
        </w:rPr>
        <w:t>Intelligent System</w:t>
      </w:r>
      <w:r w:rsidRPr="009D2AED">
        <w:rPr>
          <w:rFonts w:ascii="仿宋" w:eastAsia="仿宋" w:hAnsi="仿宋" w:cs="仿宋" w:hint="eastAsia"/>
          <w:sz w:val="28"/>
          <w:szCs w:val="28"/>
        </w:rPr>
        <w:t>等高水平SCI 期刊发表学术论文多篇</w:t>
      </w:r>
      <w:r>
        <w:rPr>
          <w:rFonts w:ascii="仿宋" w:eastAsia="仿宋" w:hAnsi="仿宋" w:cs="仿宋" w:hint="eastAsia"/>
          <w:sz w:val="28"/>
          <w:szCs w:val="28"/>
        </w:rPr>
        <w:t>。本专业雷彤等同学参与的</w:t>
      </w:r>
      <w:r w:rsidRPr="009D2AED">
        <w:rPr>
          <w:rFonts w:ascii="仿宋" w:eastAsia="仿宋" w:hAnsi="仿宋" w:cs="仿宋"/>
          <w:sz w:val="28"/>
          <w:szCs w:val="28"/>
        </w:rPr>
        <w:t>《聚焦农村养老难题，探索乡村治理模式——基于大同市 53个颐养之家探索助力农村养老新模式发展的调查</w:t>
      </w:r>
      <w:r w:rsidRPr="009D2AED">
        <w:rPr>
          <w:rFonts w:ascii="仿宋" w:eastAsia="仿宋" w:hAnsi="仿宋" w:cs="仿宋"/>
          <w:sz w:val="28"/>
          <w:szCs w:val="28"/>
        </w:rPr>
        <w:lastRenderedPageBreak/>
        <w:t>研究》</w:t>
      </w:r>
      <w:r>
        <w:rPr>
          <w:rFonts w:ascii="仿宋" w:eastAsia="仿宋" w:hAnsi="仿宋" w:cs="仿宋"/>
          <w:sz w:val="28"/>
          <w:szCs w:val="28"/>
        </w:rPr>
        <w:t>获得</w:t>
      </w:r>
      <w:r w:rsidRPr="009D2AED">
        <w:rPr>
          <w:rFonts w:ascii="仿宋" w:eastAsia="仿宋" w:hAnsi="仿宋" w:cs="仿宋"/>
          <w:sz w:val="28"/>
          <w:szCs w:val="28"/>
        </w:rPr>
        <w:t>第十八届“挑战杯”全国大学生课外学术科技作品竞赛红色专项活动国家级三等奖</w:t>
      </w:r>
      <w:r>
        <w:rPr>
          <w:rFonts w:ascii="仿宋" w:eastAsia="仿宋" w:hAnsi="仿宋" w:cs="仿宋" w:hint="eastAsia"/>
          <w:sz w:val="28"/>
          <w:szCs w:val="28"/>
        </w:rPr>
        <w:t>。</w:t>
      </w:r>
    </w:p>
    <w:p w14:paraId="299E331E" w14:textId="77777777" w:rsidR="00EE4ABB" w:rsidRDefault="00266326">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（四）研究生导师状况</w:t>
      </w:r>
    </w:p>
    <w:p w14:paraId="638F126B"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工程管理专业重视人才的引进和培养，注重与工程管理领域专家和管理者的紧密联系，建设了一支整体素质较高，知识结构、职称结构、年龄结构合理的师资队伍。</w:t>
      </w:r>
    </w:p>
    <w:p w14:paraId="24CA919A"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工程管理领域现有校内专职教师65名，其中，95.38%的教师具有博士学位，81.53%的教师具有高级职称，43.07%的教师具有海外学习研修经历。学科坚持“短期靠引进，中期靠培训，长期靠培养”的原则，引进与培养并重。学科重视对教师的师资培训，积极组织教师参与进修或学科建设活动，开拓教师眼界，提升教师学术知识技能。  </w:t>
      </w:r>
    </w:p>
    <w:p w14:paraId="17829B7A" w14:textId="77777777" w:rsidR="00EE4ABB" w:rsidRDefault="0026632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本硕士点获批以来，与太原市可持续发展中心、华远陆港跨境电子商务有限公司、中绿环保科技股份有限公司、太钢能源环保部等单位主要技术负责人建立了“双导师”培养机制，引进了政府管理者、企业管理者等校外导师。</w:t>
      </w:r>
    </w:p>
    <w:p w14:paraId="2916259E" w14:textId="77777777" w:rsidR="00EE4ABB" w:rsidRDefault="00266326">
      <w:pPr>
        <w:pStyle w:val="a4"/>
        <w:shd w:val="clear" w:color="auto" w:fill="FFFFFF"/>
        <w:spacing w:before="0" w:beforeAutospacing="0" w:after="0" w:afterAutospacing="0" w:line="360" w:lineRule="auto"/>
        <w:rPr>
          <w:rFonts w:ascii="黑体" w:eastAsia="黑体" w:hAnsi="黑体"/>
          <w:color w:val="000000"/>
          <w:sz w:val="28"/>
          <w:szCs w:val="28"/>
        </w:rPr>
      </w:pPr>
      <w:bookmarkStart w:id="0" w:name="_GoBack"/>
      <w:bookmarkEnd w:id="0"/>
      <w:r>
        <w:rPr>
          <w:rStyle w:val="a5"/>
          <w:rFonts w:ascii="黑体" w:eastAsia="黑体" w:hAnsi="黑体" w:hint="eastAsia"/>
          <w:color w:val="000000"/>
          <w:sz w:val="28"/>
          <w:szCs w:val="28"/>
        </w:rPr>
        <w:t>二、研究生党建和思想政治教育工作</w:t>
      </w:r>
    </w:p>
    <w:p w14:paraId="03AFAD8A" w14:textId="77777777" w:rsidR="00EE4ABB" w:rsidRDefault="0026632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（一）思想政治教育队伍建设情况</w:t>
      </w:r>
    </w:p>
    <w:p w14:paraId="4B39CB36"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在学院“三全育人”的</w:t>
      </w:r>
      <w:proofErr w:type="gramStart"/>
      <w:r>
        <w:rPr>
          <w:rFonts w:ascii="仿宋" w:eastAsia="仿宋" w:hAnsi="仿宋" w:cs="仿宋" w:hint="eastAsia"/>
          <w:sz w:val="28"/>
          <w:szCs w:val="28"/>
        </w:rPr>
        <w:t>思政教育</w:t>
      </w:r>
      <w:proofErr w:type="gramEnd"/>
      <w:r>
        <w:rPr>
          <w:rFonts w:ascii="仿宋" w:eastAsia="仿宋" w:hAnsi="仿宋" w:cs="仿宋" w:hint="eastAsia"/>
          <w:sz w:val="28"/>
          <w:szCs w:val="28"/>
        </w:rPr>
        <w:t>优良环境下，学科积极推进学科团队的党政干部和共青团干部、辅导员和班主任、</w:t>
      </w:r>
      <w:proofErr w:type="gramStart"/>
      <w:r>
        <w:rPr>
          <w:rFonts w:ascii="仿宋" w:eastAsia="仿宋" w:hAnsi="仿宋" w:cs="仿宋" w:hint="eastAsia"/>
          <w:sz w:val="28"/>
          <w:szCs w:val="28"/>
        </w:rPr>
        <w:t>课程思政承担</w:t>
      </w:r>
      <w:proofErr w:type="gramEnd"/>
      <w:r>
        <w:rPr>
          <w:rFonts w:ascii="仿宋" w:eastAsia="仿宋" w:hAnsi="仿宋" w:cs="仿宋" w:hint="eastAsia"/>
          <w:sz w:val="28"/>
          <w:szCs w:val="28"/>
        </w:rPr>
        <w:t>教师等全员参与思想政治教育的良好局面。思想政治教育队伍与其他学科教师、管理人员等协同合作，形成全员育人、全过程育人的良好氛围，并针对工程管理学科的特点，开展有针对性的思想政治教育，如职业</w:t>
      </w:r>
      <w:r>
        <w:rPr>
          <w:rFonts w:ascii="仿宋" w:eastAsia="仿宋" w:hAnsi="仿宋" w:cs="仿宋" w:hint="eastAsia"/>
          <w:sz w:val="28"/>
          <w:szCs w:val="28"/>
        </w:rPr>
        <w:lastRenderedPageBreak/>
        <w:t>道德教育、创新创业教育等。</w:t>
      </w:r>
    </w:p>
    <w:p w14:paraId="6CB1E4ED" w14:textId="77777777" w:rsidR="00EE4ABB" w:rsidRDefault="0026632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w:t>
      </w:r>
      <w:proofErr w:type="gramStart"/>
      <w:r>
        <w:rPr>
          <w:rFonts w:ascii="仿宋" w:eastAsia="仿宋" w:hAnsi="仿宋" w:cs="仿宋" w:hint="eastAsia"/>
          <w:b/>
          <w:bCs/>
          <w:sz w:val="28"/>
          <w:szCs w:val="28"/>
        </w:rPr>
        <w:t>思政课程</w:t>
      </w:r>
      <w:proofErr w:type="gramEnd"/>
      <w:r>
        <w:rPr>
          <w:rFonts w:ascii="仿宋" w:eastAsia="仿宋" w:hAnsi="仿宋" w:cs="仿宋" w:hint="eastAsia"/>
          <w:b/>
          <w:bCs/>
          <w:sz w:val="28"/>
          <w:szCs w:val="28"/>
        </w:rPr>
        <w:t>建设与课程</w:t>
      </w:r>
      <w:proofErr w:type="gramStart"/>
      <w:r>
        <w:rPr>
          <w:rFonts w:ascii="仿宋" w:eastAsia="仿宋" w:hAnsi="仿宋" w:cs="仿宋" w:hint="eastAsia"/>
          <w:b/>
          <w:bCs/>
          <w:sz w:val="28"/>
          <w:szCs w:val="28"/>
        </w:rPr>
        <w:t>思政落实</w:t>
      </w:r>
      <w:proofErr w:type="gramEnd"/>
      <w:r>
        <w:rPr>
          <w:rFonts w:ascii="仿宋" w:eastAsia="仿宋" w:hAnsi="仿宋" w:cs="仿宋" w:hint="eastAsia"/>
          <w:b/>
          <w:bCs/>
          <w:sz w:val="28"/>
          <w:szCs w:val="28"/>
        </w:rPr>
        <w:t>情况</w:t>
      </w:r>
    </w:p>
    <w:p w14:paraId="3F9C6158"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本学科隶属的山西大学经济与管理学院是山西省唯一的教育部“三全育人”综合改革试点院。以</w:t>
      </w:r>
      <w:proofErr w:type="gramStart"/>
      <w:r>
        <w:rPr>
          <w:rFonts w:ascii="仿宋" w:eastAsia="仿宋" w:hAnsi="仿宋" w:cs="仿宋" w:hint="eastAsia"/>
          <w:sz w:val="28"/>
          <w:szCs w:val="28"/>
        </w:rPr>
        <w:t>课程思政为</w:t>
      </w:r>
      <w:proofErr w:type="gramEnd"/>
      <w:r>
        <w:rPr>
          <w:rFonts w:ascii="仿宋" w:eastAsia="仿宋" w:hAnsi="仿宋" w:cs="仿宋" w:hint="eastAsia"/>
          <w:sz w:val="28"/>
          <w:szCs w:val="28"/>
        </w:rPr>
        <w:t>核心，实施课程</w:t>
      </w:r>
      <w:proofErr w:type="gramStart"/>
      <w:r>
        <w:rPr>
          <w:rFonts w:ascii="仿宋" w:eastAsia="仿宋" w:hAnsi="仿宋" w:cs="仿宋" w:hint="eastAsia"/>
          <w:sz w:val="28"/>
          <w:szCs w:val="28"/>
        </w:rPr>
        <w:t>思政专项</w:t>
      </w:r>
      <w:proofErr w:type="gramEnd"/>
      <w:r>
        <w:rPr>
          <w:rFonts w:ascii="仿宋" w:eastAsia="仿宋" w:hAnsi="仿宋" w:cs="仿宋" w:hint="eastAsia"/>
          <w:sz w:val="28"/>
          <w:szCs w:val="28"/>
        </w:rPr>
        <w:t>支持计划，出台《课程思政实施方案》，以实践育人为重点，通过加强课程设置、教学内容、教学方法等方面的建设，以及教师队伍建设、教学资源建设和教学评价等方面的改进，可以有效提升工程管理学科的</w:t>
      </w:r>
      <w:proofErr w:type="gramStart"/>
      <w:r>
        <w:rPr>
          <w:rFonts w:ascii="仿宋" w:eastAsia="仿宋" w:hAnsi="仿宋" w:cs="仿宋" w:hint="eastAsia"/>
          <w:sz w:val="28"/>
          <w:szCs w:val="28"/>
        </w:rPr>
        <w:t>思政教育</w:t>
      </w:r>
      <w:proofErr w:type="gramEnd"/>
      <w:r>
        <w:rPr>
          <w:rFonts w:ascii="仿宋" w:eastAsia="仿宋" w:hAnsi="仿宋" w:cs="仿宋" w:hint="eastAsia"/>
          <w:sz w:val="28"/>
          <w:szCs w:val="28"/>
        </w:rPr>
        <w:t>水平。</w:t>
      </w:r>
    </w:p>
    <w:p w14:paraId="60CAF3DE" w14:textId="77777777" w:rsidR="00EE4ABB" w:rsidRDefault="0026632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（三）研究生党建与校园文化建设情况</w:t>
      </w:r>
    </w:p>
    <w:p w14:paraId="57B06437"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研究生党建方面，通过党课、主题党日活动、党员学习小组等形式，加强研究生党员的思想政治教育，提高他们的党性修养。组织研究生党员参与志愿服务、社会实践、学术交流等活动，增强党员的社会责任感和实践能力。加强党风廉政教育，防范和纠正研究生党员中的不正之风，维护党的形象。</w:t>
      </w:r>
    </w:p>
    <w:p w14:paraId="46892484" w14:textId="77777777" w:rsidR="00EE4ABB" w:rsidRDefault="0026632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校园文化建设方面，举办丰富多彩的校园文化活动，如学术讲座、文化节、体育赛事等，营造积极向上的校园文化氛围。鼓励研究生参与学术交流活动，如学术论坛、研讨会、学术竞赛等，提升研究生的学术水平和创新能力。支持研究生参与创新创业项目，提供创业指导、资金支持等，培养研究生的创新创业精神。关注研究生心理健康，提供心理咨询、心理讲座等服务，帮助研究生解决学习和生活中的心理问题。</w:t>
      </w:r>
    </w:p>
    <w:p w14:paraId="72D921B0" w14:textId="77777777" w:rsidR="00EE4ABB" w:rsidRDefault="0026632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（四）日常管理服务情况</w:t>
      </w:r>
    </w:p>
    <w:p w14:paraId="2CD247B6" w14:textId="77777777" w:rsidR="00EE4ABB" w:rsidRDefault="00266326">
      <w:pPr>
        <w:adjustRightInd w:val="0"/>
        <w:snapToGrid w:val="0"/>
        <w:spacing w:line="360" w:lineRule="auto"/>
        <w:ind w:firstLine="560"/>
        <w:jc w:val="center"/>
        <w:rPr>
          <w:rFonts w:ascii="仿宋" w:eastAsia="仿宋" w:hAnsi="仿宋" w:cs="仿宋"/>
          <w:sz w:val="28"/>
          <w:szCs w:val="28"/>
        </w:rPr>
      </w:pPr>
      <w:r>
        <w:rPr>
          <w:rFonts w:ascii="仿宋" w:eastAsia="仿宋" w:hAnsi="仿宋" w:cs="仿宋" w:hint="eastAsia"/>
          <w:sz w:val="28"/>
          <w:szCs w:val="28"/>
        </w:rPr>
        <w:lastRenderedPageBreak/>
        <w:t>学校制定了涉及研究生招生、导师管理、课程教学、学风建设、学位授予、分流淘汰、奖惩制度及日常管理等一整套完整的管理制度体系。在此基础上，本学位点相继制定了</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山西大学工业工程与管理</w:t>
      </w:r>
    </w:p>
    <w:p w14:paraId="1941D729" w14:textId="77777777" w:rsidR="00EE4ABB" w:rsidRDefault="00266326">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硕士（领域）专业学位授予质量标准</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等一系列管理制度，保证了研究生培养工作有序开展。同时，充分发挥网络作用，建立</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及时推送服务信息，通过网络加强和研究生的交流。定期组织高水平座谈会，大力开展形式与政策教育。2021年，学院搬迁到东山校区，给全院研究生每人都配置了学习工位，本学位点研究生学习满意度均达到95%以上。</w:t>
      </w:r>
    </w:p>
    <w:p w14:paraId="7C31C71E" w14:textId="77777777" w:rsidR="00EE4ABB" w:rsidRDefault="00266326">
      <w:pPr>
        <w:pStyle w:val="a4"/>
        <w:shd w:val="clear" w:color="auto" w:fill="FFFFFF"/>
        <w:spacing w:before="0" w:beforeAutospacing="0" w:after="0" w:afterAutospacing="0" w:line="360" w:lineRule="auto"/>
        <w:rPr>
          <w:rStyle w:val="a5"/>
          <w:rFonts w:ascii="黑体" w:eastAsia="黑体" w:hAnsi="黑体"/>
          <w:color w:val="000000"/>
          <w:sz w:val="28"/>
          <w:szCs w:val="28"/>
        </w:rPr>
      </w:pPr>
      <w:r>
        <w:rPr>
          <w:rStyle w:val="a5"/>
          <w:rFonts w:ascii="黑体" w:eastAsia="黑体" w:hAnsi="黑体" w:hint="eastAsia"/>
          <w:color w:val="000000"/>
          <w:sz w:val="28"/>
          <w:szCs w:val="28"/>
        </w:rPr>
        <w:t>三、研究生培养相关制度及执行情况</w:t>
      </w:r>
    </w:p>
    <w:p w14:paraId="3E6129BD"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Style w:val="a5"/>
          <w:rFonts w:ascii="仿宋" w:eastAsia="仿宋" w:hAnsi="仿宋" w:hint="eastAsia"/>
          <w:color w:val="000000"/>
          <w:sz w:val="28"/>
          <w:szCs w:val="28"/>
        </w:rPr>
        <w:t>（一）课程建设与实施情况</w:t>
      </w:r>
    </w:p>
    <w:p w14:paraId="6270D1C9"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b w:val="0"/>
          <w:bCs w:val="0"/>
          <w:color w:val="000000"/>
          <w:sz w:val="28"/>
          <w:szCs w:val="28"/>
        </w:rPr>
      </w:pPr>
      <w:r>
        <w:rPr>
          <w:rFonts w:ascii="仿宋" w:eastAsia="仿宋" w:hAnsi="仿宋" w:cs="仿宋" w:hint="eastAsia"/>
          <w:kern w:val="2"/>
          <w:sz w:val="28"/>
          <w:szCs w:val="28"/>
        </w:rPr>
        <w:t>工程管理</w:t>
      </w:r>
      <w:r>
        <w:rPr>
          <w:rStyle w:val="a5"/>
          <w:rFonts w:ascii="仿宋" w:eastAsia="仿宋" w:hAnsi="仿宋" w:hint="eastAsia"/>
          <w:b w:val="0"/>
          <w:bCs w:val="0"/>
          <w:color w:val="000000"/>
          <w:sz w:val="28"/>
          <w:szCs w:val="28"/>
        </w:rPr>
        <w:t>课程设置分为：公共课程、专业学位课(包括：类别核心课程和领域核心课程)、专业选修课程。课程学习和实践教学实行学分制，课程模块学分应达到模块学分要求，课程总学分不少于42学分。其中公共基础课11学分，类别核心课6学分，领域核心课10学分，选修课8学分，实践环节7学分。</w:t>
      </w:r>
    </w:p>
    <w:p w14:paraId="3894EC39" w14:textId="77777777" w:rsidR="00EE4ABB" w:rsidRDefault="00266326">
      <w:pPr>
        <w:pStyle w:val="a4"/>
        <w:shd w:val="clear" w:color="auto" w:fill="FFFFFF"/>
        <w:spacing w:before="0" w:beforeAutospacing="0" w:after="0" w:afterAutospacing="0" w:line="360" w:lineRule="auto"/>
        <w:ind w:firstLine="615"/>
        <w:rPr>
          <w:rFonts w:ascii="仿宋" w:eastAsia="仿宋" w:hAnsi="仿宋" w:cs="仿宋"/>
          <w:kern w:val="2"/>
          <w:sz w:val="28"/>
          <w:szCs w:val="28"/>
        </w:rPr>
      </w:pPr>
      <w:r>
        <w:rPr>
          <w:rFonts w:ascii="仿宋" w:eastAsia="仿宋" w:hAnsi="仿宋" w:cs="仿宋" w:hint="eastAsia"/>
          <w:kern w:val="2"/>
          <w:sz w:val="28"/>
          <w:szCs w:val="28"/>
        </w:rPr>
        <w:t>学科为了提高课程教学质量，采取了以下措施：每年修订一次新生课程培养计划，新开课程需要个人申请、学科带头人审核、学院学位分委员会审核。学院</w:t>
      </w:r>
      <w:proofErr w:type="gramStart"/>
      <w:r>
        <w:rPr>
          <w:rFonts w:ascii="仿宋" w:eastAsia="仿宋" w:hAnsi="仿宋" w:cs="仿宋" w:hint="eastAsia"/>
          <w:kern w:val="2"/>
          <w:sz w:val="28"/>
          <w:szCs w:val="28"/>
        </w:rPr>
        <w:t>研究生教指委</w:t>
      </w:r>
      <w:proofErr w:type="gramEnd"/>
      <w:r>
        <w:rPr>
          <w:rFonts w:ascii="仿宋" w:eastAsia="仿宋" w:hAnsi="仿宋" w:cs="仿宋" w:hint="eastAsia"/>
          <w:kern w:val="2"/>
          <w:sz w:val="28"/>
          <w:szCs w:val="28"/>
        </w:rPr>
        <w:t>不定时听课，对研究生授课情况进行调查。支持教师申报省级、校级教改项目；加强研究生讨论教学、尽量选用外文教材、定期对学科TOP文献开展讨论。</w:t>
      </w:r>
    </w:p>
    <w:p w14:paraId="425DD76D"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Style w:val="a5"/>
          <w:rFonts w:ascii="仿宋" w:eastAsia="仿宋" w:hAnsi="仿宋" w:hint="eastAsia"/>
          <w:color w:val="000000"/>
          <w:sz w:val="28"/>
          <w:szCs w:val="28"/>
        </w:rPr>
        <w:t>（二）导师选拔培训</w:t>
      </w:r>
    </w:p>
    <w:p w14:paraId="3E188D62"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cs="Times New Roman"/>
          <w:b w:val="0"/>
          <w:color w:val="000000"/>
          <w:sz w:val="28"/>
          <w:szCs w:val="28"/>
        </w:rPr>
      </w:pPr>
      <w:r>
        <w:rPr>
          <w:rStyle w:val="a5"/>
          <w:rFonts w:ascii="仿宋" w:eastAsia="仿宋" w:hAnsi="仿宋" w:hint="eastAsia"/>
          <w:b w:val="0"/>
          <w:color w:val="000000"/>
          <w:sz w:val="28"/>
          <w:szCs w:val="28"/>
        </w:rPr>
        <w:lastRenderedPageBreak/>
        <w:t>导师的选聘、考核等严格按照《山西大学硕士研究生指导教师管理条例》执行，导师指导研究生按照导师岗位职责制度执行。学校每年会对新聘研究生导师进行培训。学位点每年对导师招生资格进行审核，有专门的审核条件，如不满足条件，</w:t>
      </w:r>
      <w:r>
        <w:rPr>
          <w:rStyle w:val="a5"/>
          <w:rFonts w:ascii="仿宋" w:eastAsia="仿宋" w:hAnsi="仿宋" w:cs="Times New Roman" w:hint="eastAsia"/>
          <w:b w:val="0"/>
          <w:color w:val="000000"/>
          <w:sz w:val="28"/>
          <w:szCs w:val="28"/>
        </w:rPr>
        <w:t>当年不得招生。</w:t>
      </w:r>
      <w:r>
        <w:rPr>
          <w:rStyle w:val="a5"/>
          <w:rFonts w:ascii="仿宋" w:eastAsia="仿宋" w:hAnsi="仿宋" w:hint="eastAsia"/>
          <w:b w:val="0"/>
          <w:color w:val="000000"/>
          <w:sz w:val="28"/>
          <w:szCs w:val="28"/>
        </w:rPr>
        <w:t>学校每年会对新聘研究生导师进行培训。</w:t>
      </w:r>
    </w:p>
    <w:p w14:paraId="62E6C3AA"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Style w:val="a5"/>
          <w:rFonts w:ascii="仿宋" w:eastAsia="仿宋" w:hAnsi="仿宋" w:hint="eastAsia"/>
          <w:color w:val="000000"/>
          <w:sz w:val="28"/>
          <w:szCs w:val="28"/>
        </w:rPr>
        <w:t>（三）师德师风建设情况</w:t>
      </w:r>
    </w:p>
    <w:p w14:paraId="51A97092" w14:textId="77777777" w:rsidR="00EE4ABB" w:rsidRDefault="00266326">
      <w:pPr>
        <w:pStyle w:val="1"/>
        <w:ind w:firstLine="560"/>
        <w:rPr>
          <w:rFonts w:ascii="仿宋" w:eastAsia="仿宋" w:hAnsi="仿宋" w:cs="仿宋"/>
          <w:sz w:val="28"/>
          <w:szCs w:val="28"/>
        </w:rPr>
      </w:pPr>
      <w:r>
        <w:rPr>
          <w:rFonts w:ascii="仿宋" w:eastAsia="仿宋" w:hAnsi="仿宋" w:cs="仿宋" w:hint="eastAsia"/>
          <w:sz w:val="28"/>
          <w:szCs w:val="28"/>
        </w:rPr>
        <w:t>本专业学位围绕“三全育人”，形成学院党委领导、专业负责人、专业教师共建的师德联动机制；出台《建立师德师风长效机制实施方案》等管理制度，全体教师签订师德承诺书，建立教师师德档案，把师德要求内嵌到政治建设、学科建设、教学管理、科研服务等各环节，贯穿到教师招聘、职务晋升、评奖评优、导师遴选等全过程，作为教师年度考核的刚性约束。</w:t>
      </w:r>
      <w:r>
        <w:rPr>
          <w:rStyle w:val="a5"/>
          <w:rFonts w:ascii="仿宋" w:eastAsia="仿宋" w:hAnsi="仿宋" w:hint="eastAsia"/>
          <w:b w:val="0"/>
          <w:bCs w:val="0"/>
          <w:sz w:val="28"/>
          <w:szCs w:val="28"/>
        </w:rPr>
        <w:t>2023年该学位点</w:t>
      </w:r>
      <w:r>
        <w:rPr>
          <w:rFonts w:ascii="仿宋" w:eastAsia="仿宋" w:hAnsi="仿宋" w:cs="仿宋" w:hint="eastAsia"/>
          <w:color w:val="000000"/>
          <w:sz w:val="28"/>
          <w:szCs w:val="28"/>
        </w:rPr>
        <w:t>无教师因师德师风负面问题被查处或通报的情况。</w:t>
      </w:r>
    </w:p>
    <w:p w14:paraId="4AC147AC"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Style w:val="a5"/>
          <w:rFonts w:ascii="仿宋" w:eastAsia="仿宋" w:hAnsi="仿宋" w:hint="eastAsia"/>
          <w:color w:val="000000"/>
          <w:sz w:val="28"/>
          <w:szCs w:val="28"/>
        </w:rPr>
        <w:t>（四）学术训练（专业实践）情况</w:t>
      </w:r>
    </w:p>
    <w:p w14:paraId="59EBFC41"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Fonts w:ascii="仿宋" w:eastAsia="仿宋" w:hAnsi="仿宋" w:cs="仿宋" w:hint="eastAsia"/>
          <w:sz w:val="28"/>
          <w:szCs w:val="28"/>
        </w:rPr>
        <w:t>本授权点学术训练按照《山西大学研究生专业实践管理办法》和《</w:t>
      </w:r>
      <w:hyperlink r:id="rId7" w:tgtFrame="_blank" w:history="1">
        <w:r>
          <w:rPr>
            <w:rFonts w:ascii="仿宋" w:eastAsia="仿宋" w:hAnsi="仿宋" w:cs="仿宋"/>
            <w:sz w:val="28"/>
            <w:szCs w:val="28"/>
          </w:rPr>
          <w:t>山西大学基层学术组织暂行条例</w:t>
        </w:r>
      </w:hyperlink>
      <w:r>
        <w:rPr>
          <w:rFonts w:ascii="仿宋" w:eastAsia="仿宋" w:hAnsi="仿宋" w:cs="仿宋" w:hint="eastAsia"/>
          <w:sz w:val="28"/>
          <w:szCs w:val="28"/>
        </w:rPr>
        <w:t>》要求执行，各方向每周至</w:t>
      </w:r>
      <w:proofErr w:type="gramStart"/>
      <w:r>
        <w:rPr>
          <w:rFonts w:ascii="仿宋" w:eastAsia="仿宋" w:hAnsi="仿宋" w:cs="仿宋" w:hint="eastAsia"/>
          <w:sz w:val="28"/>
          <w:szCs w:val="28"/>
        </w:rPr>
        <w:t>少开展</w:t>
      </w:r>
      <w:proofErr w:type="gramEnd"/>
      <w:r>
        <w:rPr>
          <w:rFonts w:ascii="仿宋" w:eastAsia="仿宋" w:hAnsi="仿宋" w:cs="仿宋" w:hint="eastAsia"/>
          <w:sz w:val="28"/>
          <w:szCs w:val="28"/>
        </w:rPr>
        <w:t>一次学术研讨活动，要求硕士生必须参加，研究生依托于导师的科研项目开展学术研究，进行实践调研与考察，定期汇报进展，撰写研究报告。学术训练所需经费由重点学科经费以及导师科研经费支出。</w:t>
      </w:r>
    </w:p>
    <w:p w14:paraId="196B46BD"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Style w:val="a5"/>
          <w:rFonts w:ascii="仿宋" w:eastAsia="仿宋" w:hAnsi="仿宋" w:hint="eastAsia"/>
          <w:color w:val="000000"/>
          <w:sz w:val="28"/>
          <w:szCs w:val="28"/>
        </w:rPr>
        <w:t>（五）学术交流情况</w:t>
      </w:r>
    </w:p>
    <w:p w14:paraId="735CFE2A"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b w:val="0"/>
          <w:bCs w:val="0"/>
          <w:sz w:val="28"/>
          <w:szCs w:val="28"/>
        </w:rPr>
      </w:pPr>
      <w:r>
        <w:rPr>
          <w:rStyle w:val="a5"/>
          <w:rFonts w:ascii="仿宋" w:eastAsia="仿宋" w:hAnsi="仿宋"/>
          <w:b w:val="0"/>
          <w:bCs w:val="0"/>
          <w:color w:val="000000"/>
          <w:sz w:val="28"/>
          <w:szCs w:val="28"/>
        </w:rPr>
        <w:lastRenderedPageBreak/>
        <w:t>本学位</w:t>
      </w:r>
      <w:proofErr w:type="gramStart"/>
      <w:r>
        <w:rPr>
          <w:rStyle w:val="a5"/>
          <w:rFonts w:ascii="仿宋" w:eastAsia="仿宋" w:hAnsi="仿宋"/>
          <w:b w:val="0"/>
          <w:bCs w:val="0"/>
          <w:color w:val="000000"/>
          <w:sz w:val="28"/>
          <w:szCs w:val="28"/>
        </w:rPr>
        <w:t>点鼓励</w:t>
      </w:r>
      <w:proofErr w:type="gramEnd"/>
      <w:r>
        <w:rPr>
          <w:rStyle w:val="a5"/>
          <w:rFonts w:ascii="仿宋" w:eastAsia="仿宋" w:hAnsi="仿宋"/>
          <w:b w:val="0"/>
          <w:bCs w:val="0"/>
          <w:color w:val="000000"/>
          <w:sz w:val="28"/>
          <w:szCs w:val="28"/>
        </w:rPr>
        <w:t>学生参加国内外高水平学术会议，选派优秀学生出国访学，到国内高校进行交流</w:t>
      </w:r>
      <w:r>
        <w:rPr>
          <w:rStyle w:val="a5"/>
          <w:rFonts w:ascii="仿宋" w:eastAsia="仿宋" w:hAnsi="仿宋"/>
          <w:b w:val="0"/>
          <w:bCs w:val="0"/>
          <w:sz w:val="28"/>
          <w:szCs w:val="28"/>
        </w:rPr>
        <w:t>研修。</w:t>
      </w:r>
      <w:r>
        <w:rPr>
          <w:rStyle w:val="a5"/>
          <w:rFonts w:ascii="仿宋" w:eastAsia="仿宋" w:hAnsi="仿宋" w:hint="eastAsia"/>
          <w:b w:val="0"/>
          <w:bCs w:val="0"/>
          <w:sz w:val="28"/>
          <w:szCs w:val="28"/>
        </w:rPr>
        <w:t>2023年邀请外校专家逾2</w:t>
      </w:r>
      <w:r>
        <w:rPr>
          <w:rStyle w:val="a5"/>
          <w:rFonts w:ascii="仿宋" w:eastAsia="仿宋" w:hAnsi="仿宋"/>
          <w:b w:val="0"/>
          <w:bCs w:val="0"/>
          <w:sz w:val="28"/>
          <w:szCs w:val="28"/>
        </w:rPr>
        <w:t>0</w:t>
      </w:r>
      <w:r>
        <w:rPr>
          <w:rStyle w:val="a5"/>
          <w:rFonts w:ascii="仿宋" w:eastAsia="仿宋" w:hAnsi="仿宋" w:hint="eastAsia"/>
          <w:b w:val="0"/>
          <w:bCs w:val="0"/>
          <w:sz w:val="28"/>
          <w:szCs w:val="28"/>
        </w:rPr>
        <w:t>人次进行学术报告。</w:t>
      </w:r>
    </w:p>
    <w:p w14:paraId="0B3AFA55" w14:textId="77777777" w:rsidR="00EE4ABB" w:rsidRDefault="00266326">
      <w:pPr>
        <w:pStyle w:val="a4"/>
        <w:shd w:val="clear" w:color="auto" w:fill="FFFFFF"/>
        <w:spacing w:before="0" w:beforeAutospacing="0" w:after="0" w:afterAutospacing="0" w:line="360" w:lineRule="auto"/>
        <w:ind w:firstLine="615"/>
        <w:rPr>
          <w:rStyle w:val="a5"/>
          <w:rFonts w:ascii="仿宋" w:eastAsia="仿宋" w:hAnsi="仿宋"/>
          <w:color w:val="000000"/>
          <w:sz w:val="28"/>
          <w:szCs w:val="28"/>
        </w:rPr>
      </w:pPr>
      <w:r>
        <w:rPr>
          <w:rStyle w:val="a5"/>
          <w:rFonts w:ascii="仿宋" w:eastAsia="仿宋" w:hAnsi="仿宋" w:hint="eastAsia"/>
          <w:color w:val="000000"/>
          <w:sz w:val="28"/>
          <w:szCs w:val="28"/>
        </w:rPr>
        <w:t>（六）研究生奖助情况</w:t>
      </w:r>
    </w:p>
    <w:p w14:paraId="7027A119" w14:textId="5F0416C6" w:rsidR="00EE4ABB" w:rsidRDefault="00266326">
      <w:pPr>
        <w:pStyle w:val="a4"/>
        <w:shd w:val="clear" w:color="auto" w:fill="FFFFFF"/>
        <w:spacing w:before="0" w:beforeAutospacing="0" w:after="0" w:afterAutospacing="0" w:line="360" w:lineRule="auto"/>
        <w:ind w:firstLine="600"/>
        <w:rPr>
          <w:rStyle w:val="a5"/>
          <w:rFonts w:ascii="仿宋" w:eastAsia="仿宋" w:hAnsi="仿宋"/>
          <w:b w:val="0"/>
          <w:color w:val="000000"/>
          <w:sz w:val="28"/>
          <w:szCs w:val="28"/>
        </w:rPr>
      </w:pPr>
      <w:r>
        <w:rPr>
          <w:rFonts w:ascii="仿宋" w:eastAsia="仿宋" w:hAnsi="仿宋" w:cs="仿宋" w:hint="eastAsia"/>
          <w:sz w:val="28"/>
          <w:szCs w:val="28"/>
        </w:rPr>
        <w:t>山西大学拥有完善的面向专业学位研究生的奖助贷体系，奖助水平与覆盖面等情况与学术型研究生一致。研究生在校期间均可获得国家助学金，此外本校还对贫困学生设置了贫困生补助以及每学期对优秀的研究生发放学业奖学金，并对贫困生在学校“助管，助学，助研”的岗位评选中给予优先考虑权。</w:t>
      </w:r>
      <w:r>
        <w:rPr>
          <w:rStyle w:val="a5"/>
          <w:rFonts w:ascii="仿宋" w:eastAsia="仿宋" w:hAnsi="仿宋" w:hint="eastAsia"/>
          <w:b w:val="0"/>
          <w:bCs w:val="0"/>
          <w:sz w:val="28"/>
          <w:szCs w:val="28"/>
        </w:rPr>
        <w:t>2023年，通过国家助学金共资助学生262人，资助金额78.6万元；获得学业奖学金人数为153人，奖学金总额为75.4万元。</w:t>
      </w:r>
      <w:r w:rsidR="00587A8B">
        <w:rPr>
          <w:rFonts w:ascii="仿宋" w:eastAsia="仿宋" w:hAnsi="仿宋" w:cs="仿宋" w:hint="eastAsia"/>
          <w:sz w:val="28"/>
          <w:szCs w:val="28"/>
        </w:rPr>
        <w:t>4名研究生获得国家奖学金，金额8万元。</w:t>
      </w:r>
    </w:p>
    <w:p w14:paraId="460B823B" w14:textId="77777777" w:rsidR="00EE4ABB" w:rsidRDefault="00266326">
      <w:pPr>
        <w:pStyle w:val="a4"/>
        <w:shd w:val="clear" w:color="auto" w:fill="FFFFFF"/>
        <w:spacing w:before="0" w:beforeAutospacing="0" w:after="0" w:afterAutospacing="0" w:line="360" w:lineRule="auto"/>
        <w:rPr>
          <w:rStyle w:val="a5"/>
          <w:rFonts w:ascii="黑体" w:eastAsia="黑体" w:hAnsi="黑体"/>
          <w:color w:val="000000"/>
          <w:sz w:val="28"/>
          <w:szCs w:val="28"/>
        </w:rPr>
      </w:pPr>
      <w:r>
        <w:rPr>
          <w:rStyle w:val="a5"/>
          <w:rFonts w:ascii="黑体" w:eastAsia="黑体" w:hAnsi="黑体" w:hint="eastAsia"/>
          <w:color w:val="000000"/>
          <w:sz w:val="28"/>
          <w:szCs w:val="28"/>
        </w:rPr>
        <w:t>四、研究生教育改革措施</w:t>
      </w:r>
    </w:p>
    <w:p w14:paraId="0E1D5E7D"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b w:val="0"/>
          <w:bCs w:val="0"/>
          <w:color w:val="000000"/>
          <w:sz w:val="28"/>
          <w:szCs w:val="28"/>
        </w:rPr>
      </w:pPr>
      <w:r>
        <w:rPr>
          <w:rStyle w:val="a5"/>
          <w:rFonts w:ascii="仿宋" w:eastAsia="仿宋" w:hAnsi="仿宋" w:hint="eastAsia"/>
          <w:b w:val="0"/>
          <w:bCs w:val="0"/>
          <w:color w:val="000000"/>
          <w:sz w:val="28"/>
          <w:szCs w:val="28"/>
        </w:rPr>
        <w:t>本学科</w:t>
      </w:r>
      <w:r>
        <w:rPr>
          <w:rStyle w:val="a5"/>
          <w:rFonts w:ascii="仿宋" w:eastAsia="仿宋" w:hAnsi="仿宋"/>
          <w:b w:val="0"/>
          <w:bCs w:val="0"/>
          <w:color w:val="000000"/>
          <w:sz w:val="28"/>
          <w:szCs w:val="28"/>
        </w:rPr>
        <w:t>学位点将进一步夯实研究方向，突出重点，体现学科的价值和特色，实现“顶天立地”。</w:t>
      </w:r>
      <w:r>
        <w:rPr>
          <w:rStyle w:val="a5"/>
          <w:rFonts w:ascii="仿宋" w:eastAsia="仿宋" w:hAnsi="仿宋" w:hint="eastAsia"/>
          <w:b w:val="0"/>
          <w:bCs w:val="0"/>
          <w:color w:val="000000"/>
          <w:sz w:val="28"/>
          <w:szCs w:val="28"/>
        </w:rPr>
        <w:t>一方面，</w:t>
      </w:r>
      <w:r>
        <w:rPr>
          <w:rStyle w:val="a5"/>
          <w:rFonts w:ascii="仿宋" w:eastAsia="仿宋" w:hAnsi="仿宋"/>
          <w:b w:val="0"/>
          <w:bCs w:val="0"/>
          <w:color w:val="000000"/>
          <w:sz w:val="28"/>
          <w:szCs w:val="28"/>
        </w:rPr>
        <w:t>学位点将紧跟国际前沿研究，发表TOP高水平学术论文</w:t>
      </w:r>
      <w:r>
        <w:rPr>
          <w:rStyle w:val="a5"/>
          <w:rFonts w:ascii="仿宋" w:eastAsia="仿宋" w:hAnsi="仿宋" w:hint="eastAsia"/>
          <w:b w:val="0"/>
          <w:bCs w:val="0"/>
          <w:color w:val="000000"/>
          <w:sz w:val="28"/>
          <w:szCs w:val="28"/>
        </w:rPr>
        <w:t>，争取引进尖端学术人才。主要措施：</w:t>
      </w:r>
    </w:p>
    <w:p w14:paraId="21243FD2"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b w:val="0"/>
          <w:bCs w:val="0"/>
          <w:sz w:val="28"/>
          <w:szCs w:val="28"/>
        </w:rPr>
      </w:pPr>
      <w:r>
        <w:rPr>
          <w:rStyle w:val="a5"/>
          <w:rFonts w:ascii="仿宋" w:eastAsia="仿宋" w:hAnsi="仿宋"/>
          <w:color w:val="000000"/>
          <w:sz w:val="28"/>
          <w:szCs w:val="28"/>
        </w:rPr>
        <w:t>（1）</w:t>
      </w:r>
      <w:r>
        <w:rPr>
          <w:rStyle w:val="a5"/>
          <w:rFonts w:ascii="仿宋" w:eastAsia="仿宋" w:hAnsi="仿宋" w:cs="Times New Roman" w:hint="eastAsia"/>
          <w:sz w:val="28"/>
          <w:szCs w:val="28"/>
        </w:rPr>
        <w:t>强化研究生质量监控，完善激励机制</w:t>
      </w:r>
    </w:p>
    <w:p w14:paraId="2D51AAA8" w14:textId="77777777" w:rsidR="00EE4ABB" w:rsidRDefault="00266326">
      <w:pPr>
        <w:pStyle w:val="a4"/>
        <w:shd w:val="clear" w:color="auto" w:fill="FFFFFF"/>
        <w:spacing w:before="0" w:beforeAutospacing="0" w:after="0" w:afterAutospacing="0" w:line="360" w:lineRule="auto"/>
        <w:ind w:firstLine="600"/>
        <w:jc w:val="both"/>
        <w:rPr>
          <w:rStyle w:val="a5"/>
          <w:rFonts w:ascii="仿宋" w:eastAsia="仿宋" w:hAnsi="仿宋"/>
          <w:b w:val="0"/>
          <w:bCs w:val="0"/>
          <w:sz w:val="28"/>
          <w:szCs w:val="28"/>
        </w:rPr>
      </w:pPr>
      <w:r>
        <w:rPr>
          <w:rStyle w:val="a5"/>
          <w:rFonts w:ascii="仿宋" w:eastAsia="仿宋" w:hAnsi="仿宋" w:cs="Times New Roman" w:hint="eastAsia"/>
          <w:b w:val="0"/>
          <w:bCs w:val="0"/>
          <w:sz w:val="28"/>
          <w:szCs w:val="28"/>
        </w:rPr>
        <w:t>建立了完善的研究生培养过程监控体系，定期对研究生的学习、科研、实践等方面内容进行评估。</w:t>
      </w:r>
      <w:r>
        <w:rPr>
          <w:rStyle w:val="a5"/>
          <w:rFonts w:ascii="仿宋" w:eastAsia="仿宋" w:hAnsi="仿宋" w:hint="eastAsia"/>
          <w:b w:val="0"/>
          <w:bCs w:val="0"/>
          <w:sz w:val="28"/>
          <w:szCs w:val="28"/>
        </w:rPr>
        <w:t>制定了《经济与管理学院提升研究生培养质量建设方案》，提升学位点研究生学术创新和实践创新能力，激励研究生争优创先。鼓励研究生发表高水平学术论文，参加学科竞赛。</w:t>
      </w:r>
    </w:p>
    <w:p w14:paraId="1C877718"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color w:val="000000"/>
          <w:sz w:val="28"/>
          <w:szCs w:val="28"/>
        </w:rPr>
      </w:pPr>
      <w:r>
        <w:rPr>
          <w:rStyle w:val="a5"/>
          <w:rFonts w:ascii="仿宋" w:eastAsia="仿宋" w:hAnsi="仿宋"/>
          <w:color w:val="000000"/>
          <w:sz w:val="28"/>
          <w:szCs w:val="28"/>
        </w:rPr>
        <w:t>（2）创新人才培养模式，提升人才培养质量</w:t>
      </w:r>
    </w:p>
    <w:p w14:paraId="010AF53A"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b w:val="0"/>
          <w:bCs w:val="0"/>
          <w:color w:val="000000"/>
          <w:sz w:val="28"/>
          <w:szCs w:val="28"/>
        </w:rPr>
      </w:pPr>
      <w:r>
        <w:rPr>
          <w:rStyle w:val="a5"/>
          <w:rFonts w:ascii="仿宋" w:eastAsia="仿宋" w:hAnsi="仿宋"/>
          <w:b w:val="0"/>
          <w:bCs w:val="0"/>
          <w:color w:val="000000"/>
          <w:sz w:val="28"/>
          <w:szCs w:val="28"/>
        </w:rPr>
        <w:lastRenderedPageBreak/>
        <w:t>发挥现有 “百人计划”学者的学术资源优势，与国外优秀导师建立合作培养模式，拓宽学生学术视野；提升学生参加学术会议和研修的资助力度；积极开展学术报告和短期课程，规范学术报告制度，增强学生理论和实践能力。</w:t>
      </w:r>
    </w:p>
    <w:p w14:paraId="1FC7F133"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color w:val="000000"/>
          <w:sz w:val="28"/>
          <w:szCs w:val="28"/>
        </w:rPr>
      </w:pPr>
      <w:r>
        <w:rPr>
          <w:rStyle w:val="a5"/>
          <w:rFonts w:ascii="仿宋" w:eastAsia="仿宋" w:hAnsi="仿宋"/>
          <w:color w:val="000000"/>
          <w:sz w:val="28"/>
          <w:szCs w:val="28"/>
        </w:rPr>
        <w:t>（3）积极开展政产学研全方位合作，加强社会服务和知识转化</w:t>
      </w:r>
    </w:p>
    <w:p w14:paraId="0D937516"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cs="Times New Roman"/>
          <w:b w:val="0"/>
          <w:bCs w:val="0"/>
          <w:color w:val="000000"/>
          <w:sz w:val="28"/>
          <w:szCs w:val="28"/>
        </w:rPr>
      </w:pPr>
      <w:r>
        <w:rPr>
          <w:rStyle w:val="a5"/>
          <w:rFonts w:ascii="仿宋" w:eastAsia="仿宋" w:hAnsi="仿宋" w:hint="eastAsia"/>
          <w:b w:val="0"/>
          <w:bCs w:val="0"/>
          <w:color w:val="000000"/>
          <w:sz w:val="28"/>
          <w:szCs w:val="28"/>
        </w:rPr>
        <w:t>持续深化产学研合作，服务山西经济转型，合作过程中充分吸纳各类高层次人才，建立完善的社会服务</w:t>
      </w:r>
      <w:r>
        <w:rPr>
          <w:rStyle w:val="a5"/>
          <w:rFonts w:ascii="仿宋" w:eastAsia="仿宋" w:hAnsi="仿宋" w:cs="Times New Roman" w:hint="eastAsia"/>
          <w:b w:val="0"/>
          <w:bCs w:val="0"/>
          <w:color w:val="000000"/>
          <w:sz w:val="28"/>
          <w:szCs w:val="28"/>
        </w:rPr>
        <w:t>团队。与企业、科研机构、政府部门合作，搭建产学研合作平台，促进科研成果转化。</w:t>
      </w:r>
    </w:p>
    <w:p w14:paraId="125026A1" w14:textId="77777777" w:rsidR="00EE4ABB" w:rsidRDefault="00266326">
      <w:pPr>
        <w:pStyle w:val="a4"/>
        <w:shd w:val="clear" w:color="auto" w:fill="FFFFFF"/>
        <w:spacing w:before="0" w:beforeAutospacing="0" w:after="0" w:afterAutospacing="0" w:line="360" w:lineRule="auto"/>
        <w:rPr>
          <w:rStyle w:val="a5"/>
          <w:rFonts w:ascii="黑体" w:eastAsia="黑体" w:hAnsi="黑体"/>
        </w:rPr>
      </w:pPr>
      <w:r>
        <w:rPr>
          <w:rStyle w:val="a5"/>
          <w:rFonts w:ascii="黑体" w:eastAsia="黑体" w:hAnsi="黑体" w:hint="eastAsia"/>
          <w:color w:val="000000"/>
          <w:sz w:val="28"/>
          <w:szCs w:val="28"/>
        </w:rPr>
        <w:t>五、学位点建设存在的问题与分析及改进措施</w:t>
      </w:r>
    </w:p>
    <w:p w14:paraId="566AA8E7" w14:textId="77777777" w:rsidR="00EE4ABB" w:rsidRDefault="00266326">
      <w:pPr>
        <w:pStyle w:val="a4"/>
        <w:shd w:val="clear" w:color="auto" w:fill="FFFFFF"/>
        <w:spacing w:before="0" w:beforeAutospacing="0" w:after="0" w:afterAutospacing="0" w:line="360" w:lineRule="auto"/>
        <w:ind w:firstLine="600"/>
        <w:jc w:val="both"/>
        <w:rPr>
          <w:rStyle w:val="a5"/>
          <w:rFonts w:ascii="仿宋" w:eastAsia="仿宋" w:hAnsi="仿宋"/>
          <w:b w:val="0"/>
          <w:color w:val="000000"/>
          <w:sz w:val="28"/>
          <w:szCs w:val="28"/>
        </w:rPr>
      </w:pPr>
      <w:r>
        <w:rPr>
          <w:rStyle w:val="a5"/>
          <w:rFonts w:ascii="仿宋" w:eastAsia="仿宋" w:hAnsi="仿宋"/>
          <w:color w:val="000000"/>
          <w:sz w:val="28"/>
          <w:szCs w:val="28"/>
        </w:rPr>
        <w:t>（1）</w:t>
      </w:r>
      <w:r>
        <w:rPr>
          <w:rStyle w:val="a5"/>
          <w:rFonts w:ascii="仿宋" w:eastAsia="仿宋" w:hAnsi="仿宋" w:hint="eastAsia"/>
          <w:sz w:val="28"/>
          <w:szCs w:val="28"/>
        </w:rPr>
        <w:t>学科虽有部分国际交流，但国际化程度较低。</w:t>
      </w:r>
      <w:r>
        <w:rPr>
          <w:rStyle w:val="a5"/>
          <w:rFonts w:ascii="仿宋" w:eastAsia="仿宋" w:hAnsi="仿宋" w:cs="Times New Roman"/>
          <w:b w:val="0"/>
          <w:bCs w:val="0"/>
          <w:sz w:val="28"/>
          <w:szCs w:val="28"/>
        </w:rPr>
        <w:t>课程内容缺乏国际视野，教材和案例主要来自本国，缺乏国际案例和跨文化内容。与国外高校和科研机构的合作项目少，科研合作网络不广泛。学术会议、研讨会等活动较少涉及国际学者，学术交流渠道有限。发表的学术论文和研究成果在国际学术期刊和会议上较少，国际影响力不足。</w:t>
      </w:r>
    </w:p>
    <w:p w14:paraId="5BC9E232" w14:textId="77777777" w:rsidR="00EE4ABB" w:rsidRDefault="00266326">
      <w:pPr>
        <w:pStyle w:val="a4"/>
        <w:shd w:val="clear" w:color="auto" w:fill="FFFFFF"/>
        <w:spacing w:before="0" w:beforeAutospacing="0" w:after="0" w:afterAutospacing="0" w:line="360" w:lineRule="auto"/>
        <w:ind w:firstLine="600"/>
        <w:rPr>
          <w:rStyle w:val="a5"/>
          <w:rFonts w:ascii="仿宋" w:eastAsia="仿宋" w:hAnsi="仿宋" w:cs="Times New Roman"/>
          <w:b w:val="0"/>
          <w:color w:val="000000"/>
          <w:sz w:val="28"/>
          <w:szCs w:val="28"/>
        </w:rPr>
      </w:pPr>
      <w:r>
        <w:rPr>
          <w:rStyle w:val="a5"/>
          <w:rFonts w:ascii="仿宋" w:eastAsia="仿宋" w:hAnsi="仿宋"/>
          <w:color w:val="000000"/>
          <w:sz w:val="28"/>
          <w:szCs w:val="28"/>
        </w:rPr>
        <w:t>（</w:t>
      </w:r>
      <w:r>
        <w:rPr>
          <w:rStyle w:val="a5"/>
          <w:rFonts w:ascii="仿宋" w:eastAsia="仿宋" w:hAnsi="仿宋" w:hint="eastAsia"/>
          <w:color w:val="000000"/>
          <w:sz w:val="28"/>
          <w:szCs w:val="28"/>
        </w:rPr>
        <w:t>2</w:t>
      </w:r>
      <w:r>
        <w:rPr>
          <w:rStyle w:val="a5"/>
          <w:rFonts w:ascii="仿宋" w:eastAsia="仿宋" w:hAnsi="仿宋"/>
          <w:color w:val="000000"/>
          <w:sz w:val="28"/>
          <w:szCs w:val="28"/>
        </w:rPr>
        <w:t>）</w:t>
      </w:r>
      <w:r>
        <w:rPr>
          <w:rStyle w:val="a5"/>
          <w:rFonts w:ascii="仿宋" w:eastAsia="仿宋" w:hAnsi="仿宋" w:hint="eastAsia"/>
          <w:bCs w:val="0"/>
          <w:color w:val="000000"/>
          <w:sz w:val="28"/>
          <w:szCs w:val="28"/>
        </w:rPr>
        <w:t>校外实践基地数量较少，双导师合作留于表面。</w:t>
      </w:r>
      <w:r>
        <w:rPr>
          <w:rStyle w:val="a5"/>
          <w:rFonts w:ascii="仿宋" w:eastAsia="仿宋" w:hAnsi="仿宋" w:hint="eastAsia"/>
          <w:b w:val="0"/>
          <w:color w:val="000000"/>
          <w:sz w:val="28"/>
          <w:szCs w:val="28"/>
        </w:rPr>
        <w:t>企业缺乏联合高校共建实践基地的动力，没有设立具有实质意义的科研</w:t>
      </w:r>
      <w:r>
        <w:rPr>
          <w:rStyle w:val="a5"/>
          <w:rFonts w:ascii="仿宋" w:eastAsia="仿宋" w:hAnsi="仿宋"/>
          <w:b w:val="0"/>
          <w:color w:val="000000"/>
          <w:sz w:val="28"/>
          <w:szCs w:val="28"/>
        </w:rPr>
        <w:t>合作项</w:t>
      </w:r>
      <w:r>
        <w:rPr>
          <w:rStyle w:val="a5"/>
          <w:rFonts w:ascii="仿宋" w:eastAsia="仿宋" w:hAnsi="仿宋" w:cs="Times New Roman" w:hint="eastAsia"/>
          <w:b w:val="0"/>
          <w:color w:val="000000"/>
          <w:sz w:val="28"/>
          <w:szCs w:val="28"/>
        </w:rPr>
        <w:t>目。企业导师参与度有限，缺乏深度互动，理论与实践结合不够紧密，未能充分发挥校外实践基地在培养学生实践能力中的作用。</w:t>
      </w:r>
    </w:p>
    <w:p w14:paraId="77E854B6" w14:textId="77777777" w:rsidR="00EE4ABB" w:rsidRDefault="00266326">
      <w:pPr>
        <w:widowControl/>
        <w:ind w:firstLineChars="200" w:firstLine="562"/>
        <w:jc w:val="left"/>
        <w:rPr>
          <w:rFonts w:ascii="仿宋" w:eastAsia="仿宋" w:hAnsi="仿宋" w:cs="仿宋"/>
          <w:sz w:val="28"/>
          <w:szCs w:val="28"/>
        </w:rPr>
      </w:pPr>
      <w:r>
        <w:rPr>
          <w:rFonts w:ascii="仿宋" w:eastAsia="仿宋" w:hAnsi="仿宋" w:cs="仿宋" w:hint="eastAsia"/>
          <w:b/>
          <w:bCs/>
          <w:sz w:val="28"/>
          <w:szCs w:val="28"/>
        </w:rPr>
        <w:t>改进措施：</w:t>
      </w:r>
    </w:p>
    <w:p w14:paraId="4238848E" w14:textId="77777777" w:rsidR="00EE4ABB" w:rsidRDefault="00266326">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制定和实施鼓励国际交流的政策，提供资金支持和项目资助。与海外高校和科研机构建立长期稳定的合作关系，开展联合研究项目。开发国际化课程，引入国际知名学者的讲座和远程教学资源。</w:t>
      </w:r>
    </w:p>
    <w:p w14:paraId="55898B61" w14:textId="77777777" w:rsidR="00EE4ABB" w:rsidRDefault="00266326">
      <w:pPr>
        <w:widowControl/>
        <w:jc w:val="left"/>
        <w:rPr>
          <w:rFonts w:ascii="仿宋" w:eastAsia="仿宋" w:hAnsi="仿宋" w:cs="仿宋"/>
          <w:sz w:val="28"/>
          <w:szCs w:val="28"/>
        </w:rPr>
      </w:pPr>
      <w:r>
        <w:rPr>
          <w:rFonts w:ascii="仿宋" w:eastAsia="仿宋" w:hAnsi="仿宋" w:cs="仿宋"/>
          <w:sz w:val="28"/>
          <w:szCs w:val="28"/>
        </w:rPr>
        <w:lastRenderedPageBreak/>
        <w:t>派遣教师赴海外进修、参加学术会议，提升教师的国际化视野和教学能力。争取主办国际学术会议，提升学科的全球知名度。</w:t>
      </w:r>
    </w:p>
    <w:p w14:paraId="565CA5F7" w14:textId="77777777" w:rsidR="00EE4ABB" w:rsidRDefault="00266326">
      <w:pPr>
        <w:widowControl/>
        <w:ind w:firstLineChars="200" w:firstLine="560"/>
        <w:jc w:val="left"/>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2</w:t>
      </w:r>
      <w:r>
        <w:rPr>
          <w:rFonts w:ascii="仿宋" w:eastAsia="仿宋" w:hAnsi="仿宋" w:cs="仿宋"/>
          <w:sz w:val="28"/>
          <w:szCs w:val="28"/>
        </w:rPr>
        <w:t xml:space="preserve">) 加强校内导师培训，引导校内导师开展校企合作科技项目; 推进开放式办学，邀请行业专家为研究生培养出谋划策，包括研究生培养方案制定、培养考核与质量反馈，使人才培养不脱离市场需求; 企业加强科研人员培训，全面了解专业学位研究生培养目标，吸纳专业学位研究生深度参与企业科研合作项目，为企业解决更多的技术难题。 </w:t>
      </w:r>
    </w:p>
    <w:sectPr w:rsidR="00EE4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EEA96" w14:textId="77777777" w:rsidR="00671244" w:rsidRDefault="00671244" w:rsidP="00FF7973">
      <w:r>
        <w:separator/>
      </w:r>
    </w:p>
  </w:endnote>
  <w:endnote w:type="continuationSeparator" w:id="0">
    <w:p w14:paraId="54595F94" w14:textId="77777777" w:rsidR="00671244" w:rsidRDefault="00671244" w:rsidP="00FF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C337A" w14:textId="77777777" w:rsidR="00671244" w:rsidRDefault="00671244" w:rsidP="00FF7973">
      <w:r>
        <w:separator/>
      </w:r>
    </w:p>
  </w:footnote>
  <w:footnote w:type="continuationSeparator" w:id="0">
    <w:p w14:paraId="5FC3F718" w14:textId="77777777" w:rsidR="00671244" w:rsidRDefault="00671244" w:rsidP="00FF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EE4ABB"/>
    <w:rsid w:val="00266326"/>
    <w:rsid w:val="00266490"/>
    <w:rsid w:val="00587A8B"/>
    <w:rsid w:val="00671244"/>
    <w:rsid w:val="009D2AED"/>
    <w:rsid w:val="00EE4ABB"/>
    <w:rsid w:val="00FF7973"/>
    <w:rsid w:val="02845918"/>
    <w:rsid w:val="02C61C55"/>
    <w:rsid w:val="05410997"/>
    <w:rsid w:val="06DB7512"/>
    <w:rsid w:val="08A27481"/>
    <w:rsid w:val="08A55045"/>
    <w:rsid w:val="08DC1226"/>
    <w:rsid w:val="0B65182E"/>
    <w:rsid w:val="0D8C6262"/>
    <w:rsid w:val="0FDA5C70"/>
    <w:rsid w:val="10353DC4"/>
    <w:rsid w:val="11D531DF"/>
    <w:rsid w:val="19544F01"/>
    <w:rsid w:val="1CAF0803"/>
    <w:rsid w:val="25902BD2"/>
    <w:rsid w:val="268406F2"/>
    <w:rsid w:val="2E3D0FE2"/>
    <w:rsid w:val="2E7D24D2"/>
    <w:rsid w:val="30C85944"/>
    <w:rsid w:val="313223BA"/>
    <w:rsid w:val="33E83305"/>
    <w:rsid w:val="392F59E4"/>
    <w:rsid w:val="41DD74F9"/>
    <w:rsid w:val="47765679"/>
    <w:rsid w:val="4A037596"/>
    <w:rsid w:val="4B6E4EE3"/>
    <w:rsid w:val="56115D08"/>
    <w:rsid w:val="618935DB"/>
    <w:rsid w:val="62510376"/>
    <w:rsid w:val="73125FD0"/>
    <w:rsid w:val="76174260"/>
    <w:rsid w:val="771619E2"/>
    <w:rsid w:val="7B1066C6"/>
    <w:rsid w:val="7EA2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Lines="50" w:before="50" w:afterLines="50" w:after="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uiPriority w:val="22"/>
    <w:qFormat/>
    <w:rPr>
      <w:b/>
      <w:bCs/>
    </w:rPr>
  </w:style>
  <w:style w:type="paragraph" w:customStyle="1" w:styleId="1">
    <w:name w:val="列表段落1"/>
    <w:basedOn w:val="a"/>
    <w:uiPriority w:val="99"/>
    <w:qFormat/>
    <w:pPr>
      <w:ind w:firstLineChars="200" w:firstLine="420"/>
    </w:pPr>
  </w:style>
  <w:style w:type="paragraph" w:styleId="a6">
    <w:name w:val="header"/>
    <w:basedOn w:val="a"/>
    <w:link w:val="Char"/>
    <w:rsid w:val="00FF7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F79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Lines="50" w:before="50" w:afterLines="50" w:after="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uiPriority w:val="22"/>
    <w:qFormat/>
    <w:rPr>
      <w:b/>
      <w:bCs/>
    </w:rPr>
  </w:style>
  <w:style w:type="paragraph" w:customStyle="1" w:styleId="1">
    <w:name w:val="列表段落1"/>
    <w:basedOn w:val="a"/>
    <w:uiPriority w:val="99"/>
    <w:qFormat/>
    <w:pPr>
      <w:ind w:firstLineChars="200" w:firstLine="420"/>
    </w:pPr>
  </w:style>
  <w:style w:type="paragraph" w:styleId="a6">
    <w:name w:val="header"/>
    <w:basedOn w:val="a"/>
    <w:link w:val="Char"/>
    <w:rsid w:val="00FF7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F79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BJyXhWebOIbzQqkikWA2uOnokqBjMNT02YP0c46tpvWehpfvlYWwR59_utRi2pYCUxa-b93sudI4md8zXuulnkSNR1u1BflmLFmAS8hGPy3&amp;wd=&amp;eqid=f3f27f1200056c6e00000002625b84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2023-10-27T08:05:00Z</dcterms:created>
  <dcterms:modified xsi:type="dcterms:W3CDTF">2024-12-03T05:35:00Z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7C806F487C344073997BEF28F8857CE0_12</vt:lpwstr>
  </property>
</Properties>
</file>